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val="en-US" w:eastAsia="zh-CN"/>
        </w:rPr>
        <w:fldChar w:fldCharType="begin"/>
      </w:r>
      <w:r>
        <w:rPr>
          <w:rFonts w:hint="eastAsia" w:ascii="方正小标宋简体" w:hAnsi="方正小标宋简体" w:eastAsia="方正小标宋简体" w:cs="方正小标宋简体"/>
          <w:bCs/>
          <w:spacing w:val="15"/>
          <w:sz w:val="44"/>
          <w:szCs w:val="44"/>
          <w:highlight w:val="none"/>
          <w:lang w:val="en-US" w:eastAsia="zh-CN"/>
        </w:rPr>
        <w:instrText xml:space="preserve">MERGEFIELD ${page855778723.ds388518707_V_RPT_BAS_AGENCY_INFO_NAME}</w:instrText>
      </w:r>
      <w:r>
        <w:rPr>
          <w:rFonts w:hint="eastAsia" w:ascii="方正小标宋简体" w:hAnsi="方正小标宋简体" w:eastAsia="方正小标宋简体" w:cs="方正小标宋简体"/>
          <w:bCs/>
          <w:spacing w:val="15"/>
          <w:sz w:val="44"/>
          <w:szCs w:val="44"/>
          <w:highlight w:val="none"/>
          <w:lang w:val="en-US" w:eastAsia="zh-CN"/>
        </w:rPr>
        <w:fldChar w:fldCharType="separate"/>
      </w:r>
      <w:r>
        <w:rPr>
          <w:rFonts w:hint="eastAsia" w:ascii="方正小标宋简体" w:hAnsi="方正小标宋简体" w:eastAsia="方正小标宋简体" w:cs="方正小标宋简体"/>
          <w:bCs/>
          <w:spacing w:val="15"/>
          <w:sz w:val="44"/>
          <w:szCs w:val="44"/>
          <w:highlight w:val="none"/>
          <w:lang w:val="en-US" w:eastAsia="zh-CN"/>
        </w:rPr>
        <w:t>衢州市检察院</w:t>
      </w:r>
      <w:r>
        <w:fldChar w:fldCharType="end"/>
      </w:r>
      <w:r>
        <w:rPr>
          <w:rFonts w:hint="eastAsia" w:ascii="方正小标宋简体" w:hAnsi="方正小标宋简体" w:eastAsia="方正小标宋简体" w:cs="方正小标宋简体"/>
          <w:bCs/>
          <w:spacing w:val="15"/>
          <w:sz w:val="44"/>
          <w:szCs w:val="44"/>
          <w:highlight w:val="none"/>
          <w:lang w:val="en-US" w:eastAsia="zh-CN"/>
        </w:rPr>
        <w:t>2022</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11"/>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default" w:ascii="黑体" w:eastAsia="黑体"/>
          <w:b w:val="0"/>
          <w:color w:val="000000"/>
          <w:sz w:val="32"/>
          <w:szCs w:val="32"/>
          <w:highlight w:val="none"/>
          <w:lang w:val="en-US" w:eastAsia="zh-CN"/>
        </w:rPr>
      </w:pPr>
      <w:r>
        <w:rPr>
          <w:rStyle w:val="11"/>
          <w:rFonts w:hint="eastAsia" w:ascii="黑体" w:eastAsia="黑体"/>
          <w:b w:val="0"/>
          <w:color w:val="000000"/>
          <w:sz w:val="32"/>
          <w:szCs w:val="32"/>
          <w:highlight w:val="none"/>
          <w:lang w:val="en-US"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rPr>
      </w:pPr>
      <w:r>
        <w:rPr>
          <w:rFonts w:hint="eastAsia" w:ascii="黑体" w:eastAsia="黑体"/>
          <w:color w:val="000000"/>
          <w:sz w:val="32"/>
          <w:highlight w:val="white"/>
        </w:rPr>
        <w:t>一、</w:t>
      </w:r>
      <w:r>
        <w:rPr>
          <w:rFonts w:hint="eastAsia" w:ascii="黑体" w:eastAsia="黑体"/>
          <w:color w:val="000000"/>
          <w:sz w:val="32"/>
          <w:highlight w:val="white"/>
          <w:lang w:val="en-US" w:eastAsia="zh-CN"/>
        </w:rPr>
        <w:t>单位</w:t>
      </w:r>
      <w:r>
        <w:rPr>
          <w:rStyle w:val="11"/>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1"/>
          <w:rFonts w:hint="eastAsia" w:ascii="黑体" w:eastAsia="黑体"/>
          <w:b w:val="0"/>
          <w:color w:val="000000"/>
          <w:sz w:val="32"/>
          <w:szCs w:val="32"/>
          <w:highlight w:val="none"/>
          <w:lang w:eastAsia="zh-CN"/>
        </w:rPr>
      </w:pPr>
      <w:r>
        <w:rPr>
          <w:rStyle w:val="11"/>
          <w:rFonts w:hint="eastAsia" w:ascii="黑体" w:eastAsia="黑体"/>
          <w:b w:val="0"/>
          <w:color w:val="000000"/>
          <w:sz w:val="32"/>
          <w:szCs w:val="32"/>
          <w:highlight w:val="none"/>
          <w:lang w:eastAsia="zh-CN"/>
        </w:rPr>
        <w:t>二、</w:t>
      </w:r>
      <w:r>
        <w:rPr>
          <w:rStyle w:val="11"/>
          <w:rFonts w:hint="eastAsia" w:ascii="黑体" w:eastAsia="黑体"/>
          <w:b w:val="0"/>
          <w:color w:val="000000"/>
          <w:sz w:val="32"/>
          <w:szCs w:val="32"/>
          <w:highlight w:val="none"/>
          <w:lang w:val="en-US" w:eastAsia="zh-CN"/>
        </w:rPr>
        <w:t>2022</w:t>
      </w:r>
      <w:r>
        <w:rPr>
          <w:rStyle w:val="11"/>
          <w:rFonts w:hint="eastAsia" w:ascii="黑体" w:eastAsia="黑体"/>
          <w:b w:val="0"/>
          <w:color w:val="000000"/>
          <w:sz w:val="32"/>
          <w:szCs w:val="32"/>
          <w:highlight w:val="none"/>
        </w:rPr>
        <w:t>年</w:t>
      </w:r>
      <w:r>
        <w:rPr>
          <w:rStyle w:val="11"/>
          <w:rFonts w:hint="eastAsia" w:ascii="黑体" w:eastAsia="黑体"/>
          <w:b w:val="0"/>
          <w:color w:val="000000"/>
          <w:sz w:val="32"/>
          <w:szCs w:val="32"/>
          <w:highlight w:val="none"/>
        </w:rPr>
        <w:fldChar w:fldCharType="begin"/>
      </w:r>
      <w:r>
        <w:rPr>
          <w:rStyle w:val="11"/>
          <w:rFonts w:hint="eastAsia" w:ascii="黑体" w:eastAsia="黑体"/>
          <w:b w:val="0"/>
          <w:color w:val="000000"/>
          <w:sz w:val="32"/>
          <w:szCs w:val="32"/>
          <w:highlight w:val="none"/>
        </w:rPr>
        <w:instrText xml:space="preserve">MERGEFIELD ${page855778723.ds388518707_V_RPT_BAS_AGENCY_INFO_NAME}</w:instrText>
      </w:r>
      <w:r>
        <w:rPr>
          <w:rStyle w:val="11"/>
          <w:rFonts w:hint="eastAsia" w:ascii="黑体" w:eastAsia="黑体"/>
          <w:b w:val="0"/>
          <w:color w:val="000000"/>
          <w:sz w:val="32"/>
          <w:szCs w:val="32"/>
          <w:highlight w:val="none"/>
        </w:rPr>
        <w:fldChar w:fldCharType="separate"/>
      </w:r>
      <w:r>
        <w:rPr>
          <w:rStyle w:val="11"/>
          <w:rFonts w:hint="eastAsia" w:ascii="黑体" w:eastAsia="黑体"/>
          <w:b w:val="0"/>
          <w:color w:val="000000"/>
          <w:sz w:val="32"/>
          <w:szCs w:val="32"/>
          <w:highlight w:val="none"/>
        </w:rPr>
        <w:t>衢州市检察院</w:t>
      </w:r>
      <w:r>
        <w:fldChar w:fldCharType="end"/>
      </w:r>
      <w:r>
        <w:rPr>
          <w:rStyle w:val="11"/>
          <w:rFonts w:hint="eastAsia" w:ascii="黑体" w:eastAsia="黑体"/>
          <w:b w:val="0"/>
          <w:color w:val="000000"/>
          <w:sz w:val="32"/>
          <w:szCs w:val="32"/>
          <w:highlight w:val="none"/>
          <w:lang w:val="en-US" w:eastAsia="zh-CN"/>
        </w:rPr>
        <w:t>单位</w:t>
      </w:r>
      <w:r>
        <w:rPr>
          <w:rStyle w:val="11"/>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衢州市检察院</w:t>
      </w:r>
      <w:r>
        <w:fldChar w:fldCharType="end"/>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衢州市检察院</w:t>
      </w:r>
      <w:r>
        <w:fldChar w:fldCharType="end"/>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衢州市检察院</w:t>
      </w:r>
      <w:r>
        <w:fldChar w:fldCharType="end"/>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衢州市检察院</w:t>
      </w:r>
      <w:r>
        <w:fldChar w:fldCharType="end"/>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衢州市检察院</w:t>
      </w:r>
      <w:r>
        <w:fldChar w:fldCharType="end"/>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衢州市检察院</w:t>
      </w:r>
      <w:r>
        <w:fldChar w:fldCharType="end"/>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衢州市检察院</w:t>
      </w:r>
      <w:r>
        <w:fldChar w:fldCharType="end"/>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衢州市检察院</w:t>
      </w:r>
      <w:r>
        <w:fldChar w:fldCharType="end"/>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衢州市检察院</w:t>
      </w:r>
      <w:r>
        <w:fldChar w:fldCharType="end"/>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5"/>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1"/>
          <w:rFonts w:hint="eastAsia" w:ascii="黑体" w:hAnsi="Calibri" w:eastAsia="黑体" w:cs="Times New Roman"/>
          <w:b w:val="0"/>
          <w:color w:val="000000"/>
          <w:kern w:val="2"/>
          <w:sz w:val="32"/>
          <w:szCs w:val="32"/>
          <w:highlight w:val="none"/>
          <w:lang w:val="en-US" w:eastAsia="zh-CN" w:bidi="ar-SA"/>
        </w:rPr>
      </w:pPr>
      <w:r>
        <w:rPr>
          <w:rStyle w:val="11"/>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1"/>
          <w:rFonts w:hint="eastAsia" w:ascii="黑体" w:eastAsia="黑体"/>
          <w:b w:val="0"/>
          <w:color w:val="000000"/>
          <w:sz w:val="32"/>
          <w:szCs w:val="32"/>
          <w:highlight w:val="none"/>
          <w:lang w:eastAsia="zh-CN"/>
        </w:rPr>
      </w:pPr>
      <w:r>
        <w:rPr>
          <w:rStyle w:val="11"/>
          <w:rFonts w:hint="eastAsia" w:ascii="黑体" w:eastAsia="黑体"/>
          <w:b w:val="0"/>
          <w:color w:val="000000"/>
          <w:sz w:val="32"/>
          <w:szCs w:val="32"/>
          <w:highlight w:val="none"/>
          <w:lang w:eastAsia="zh-CN"/>
        </w:rPr>
        <w:t>四、</w:t>
      </w:r>
      <w:r>
        <w:rPr>
          <w:rStyle w:val="11"/>
          <w:rFonts w:hint="eastAsia" w:ascii="黑体" w:eastAsia="黑体"/>
          <w:b w:val="0"/>
          <w:color w:val="000000"/>
          <w:sz w:val="32"/>
          <w:szCs w:val="32"/>
          <w:highlight w:val="none"/>
          <w:lang w:val="en-US" w:eastAsia="zh-CN"/>
        </w:rPr>
        <w:t>2022</w:t>
      </w:r>
      <w:r>
        <w:rPr>
          <w:rStyle w:val="11"/>
          <w:rFonts w:hint="eastAsia" w:ascii="黑体" w:eastAsia="黑体"/>
          <w:b w:val="0"/>
          <w:color w:val="000000"/>
          <w:sz w:val="32"/>
          <w:szCs w:val="32"/>
          <w:highlight w:val="none"/>
        </w:rPr>
        <w:t>年</w:t>
      </w:r>
      <w:r>
        <w:rPr>
          <w:rStyle w:val="11"/>
          <w:rFonts w:hint="eastAsia" w:ascii="黑体" w:eastAsia="黑体"/>
          <w:b w:val="0"/>
          <w:color w:val="000000"/>
          <w:sz w:val="32"/>
          <w:szCs w:val="32"/>
          <w:highlight w:val="none"/>
        </w:rPr>
        <w:fldChar w:fldCharType="begin"/>
      </w:r>
      <w:r>
        <w:rPr>
          <w:rStyle w:val="11"/>
          <w:rFonts w:hint="eastAsia" w:ascii="黑体" w:eastAsia="黑体"/>
          <w:b w:val="0"/>
          <w:color w:val="000000"/>
          <w:sz w:val="32"/>
          <w:szCs w:val="32"/>
          <w:highlight w:val="none"/>
        </w:rPr>
        <w:instrText xml:space="preserve">MERGEFIELD ${page855778723.ds388518707_V_RPT_BAS_AGENCY_INFO_NAME}</w:instrText>
      </w:r>
      <w:r>
        <w:rPr>
          <w:rStyle w:val="11"/>
          <w:rFonts w:hint="eastAsia" w:ascii="黑体" w:eastAsia="黑体"/>
          <w:b w:val="0"/>
          <w:color w:val="000000"/>
          <w:sz w:val="32"/>
          <w:szCs w:val="32"/>
          <w:highlight w:val="none"/>
        </w:rPr>
        <w:fldChar w:fldCharType="separate"/>
      </w:r>
      <w:r>
        <w:rPr>
          <w:rStyle w:val="11"/>
          <w:rFonts w:hint="eastAsia" w:ascii="黑体" w:eastAsia="黑体"/>
          <w:b w:val="0"/>
          <w:color w:val="000000"/>
          <w:sz w:val="32"/>
          <w:szCs w:val="32"/>
          <w:highlight w:val="none"/>
        </w:rPr>
        <w:t>衢州市检察院</w:t>
      </w:r>
      <w:r>
        <w:fldChar w:fldCharType="end"/>
      </w:r>
      <w:r>
        <w:rPr>
          <w:rStyle w:val="11"/>
          <w:rFonts w:hint="eastAsia" w:ascii="黑体" w:eastAsia="黑体"/>
          <w:b w:val="0"/>
          <w:color w:val="000000"/>
          <w:sz w:val="32"/>
          <w:szCs w:val="32"/>
          <w:highlight w:val="none"/>
          <w:lang w:val="en-US" w:eastAsia="zh-CN"/>
        </w:rPr>
        <w:t>单位</w:t>
      </w:r>
      <w:r>
        <w:rPr>
          <w:rStyle w:val="11"/>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（十）2022年单位项目支出预算表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tabs>
          <w:tab w:val="left" w:pos="2608"/>
        </w:tabs>
        <w:rPr>
          <w:rStyle w:val="11"/>
          <w:rFonts w:hint="eastAsia" w:ascii="黑体" w:eastAsia="黑体"/>
          <w:b w:val="0"/>
          <w:color w:val="000000"/>
          <w:sz w:val="32"/>
          <w:szCs w:val="32"/>
          <w:highlight w:val="none"/>
          <w:lang w:eastAsia="zh-CN"/>
        </w:rPr>
      </w:pPr>
      <w:r>
        <w:rPr>
          <w:rStyle w:val="11"/>
          <w:rFonts w:hint="eastAsia" w:ascii="黑体" w:eastAsia="黑体"/>
          <w:b w:val="0"/>
          <w:color w:val="000000"/>
          <w:sz w:val="32"/>
          <w:szCs w:val="32"/>
          <w:highlight w:val="none"/>
          <w:lang w:eastAsia="zh-CN"/>
        </w:rPr>
        <w:tab/>
      </w:r>
    </w:p>
    <w:p>
      <w:pPr>
        <w:pStyle w:val="2"/>
        <w:tabs>
          <w:tab w:val="left" w:pos="2608"/>
        </w:tabs>
        <w:rPr>
          <w:rStyle w:val="11"/>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11"/>
          <w:rFonts w:hint="eastAsia" w:ascii="黑体" w:eastAsia="黑体"/>
          <w:b w:val="0"/>
          <w:color w:val="000000"/>
          <w:sz w:val="32"/>
          <w:szCs w:val="32"/>
          <w:highlight w:val="none"/>
        </w:rPr>
      </w:pPr>
      <w:r>
        <w:rPr>
          <w:rStyle w:val="11"/>
          <w:rFonts w:hint="eastAsia" w:ascii="黑体" w:eastAsia="黑体"/>
          <w:b w:val="0"/>
          <w:color w:val="000000"/>
          <w:sz w:val="32"/>
          <w:szCs w:val="32"/>
          <w:highlight w:val="none"/>
        </w:rPr>
        <w:t>一、</w:t>
      </w:r>
      <w:r>
        <w:rPr>
          <w:rStyle w:val="11"/>
          <w:rFonts w:hint="eastAsia" w:ascii="黑体" w:eastAsia="黑体"/>
          <w:b w:val="0"/>
          <w:color w:val="000000"/>
          <w:sz w:val="32"/>
          <w:szCs w:val="32"/>
          <w:highlight w:val="none"/>
          <w:lang w:val="en-US" w:eastAsia="zh-CN"/>
        </w:rPr>
        <w:t>单位</w:t>
      </w:r>
      <w:r>
        <w:rPr>
          <w:rStyle w:val="11"/>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pStyle w:val="6"/>
        <w:spacing w:before="0" w:beforeAutospacing="0" w:after="0" w:afterAutospacing="0" w:line="520" w:lineRule="exact"/>
        <w:ind w:firstLine="470" w:firstLineChars="147"/>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人民检察院是国家法律监督机关，衢州市人民检察院是全市检察机关的领导机关，领导全市各县（市、区）人民检察院依法履行法律监督职能，保证国家法律的统一和正确实施。主要职能有：</w:t>
      </w:r>
    </w:p>
    <w:p>
      <w:pPr>
        <w:pStyle w:val="6"/>
        <w:spacing w:before="0" w:beforeAutospacing="0" w:after="0" w:afterAutospacing="0" w:line="520" w:lineRule="exact"/>
        <w:ind w:firstLine="640" w:firstLineChars="200"/>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1.批准和决定逮捕权 </w:t>
      </w:r>
    </w:p>
    <w:p>
      <w:pPr>
        <w:pStyle w:val="6"/>
        <w:spacing w:before="0" w:beforeAutospacing="0" w:after="0" w:afterAutospacing="0" w:line="520" w:lineRule="exact"/>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　  人民检察院批准和决定逮捕权是指人民检察院对公安机关提请批准逮捕的犯罪嫌疑人的审查批准逮捕和对直接受理案件的决定逮捕的权力。 </w:t>
      </w:r>
    </w:p>
    <w:p>
      <w:pPr>
        <w:pStyle w:val="6"/>
        <w:spacing w:before="0" w:beforeAutospacing="0" w:after="0" w:afterAutospacing="0" w:line="520" w:lineRule="exact"/>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　　2.公诉权 </w:t>
      </w:r>
    </w:p>
    <w:p>
      <w:pPr>
        <w:pStyle w:val="6"/>
        <w:spacing w:before="0" w:beforeAutospacing="0" w:after="0" w:afterAutospacing="0" w:line="520" w:lineRule="exact"/>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　　公诉权是人民检察院代表国家，为追究犯罪嫌疑人的刑事责任，依照法律向有管辖权的法院提出指控的权力。除自诉案件由人民法院直接受理，刑事案件都应当由人民检察院提起公诉。在我国，公诉权由人民检察院代表国家统一行使，其他任何机关、团体、组织都无权行使这项权力。公诉权包括决定起诉、不起诉、变更起诉及提出抗诉等。 </w:t>
      </w:r>
    </w:p>
    <w:p>
      <w:pPr>
        <w:pStyle w:val="6"/>
        <w:spacing w:before="0" w:beforeAutospacing="0" w:after="0" w:afterAutospacing="0" w:line="520" w:lineRule="exact"/>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　　3.立案监督和侦查活动监督权 </w:t>
      </w:r>
    </w:p>
    <w:p>
      <w:pPr>
        <w:pStyle w:val="6"/>
        <w:spacing w:before="0" w:beforeAutospacing="0" w:after="0" w:afterAutospacing="0" w:line="520" w:lineRule="exact"/>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　　立案监督权是人民检察院对公安机关的立案活动是否合法进行监督的权力。人民检察院通过立案监督，依法纠正和防止公安机关有案不立或者以罚代刑的现象，使犯罪分子受到刑事追究。侦查活动监督权是人民检察院在审查侦查机关提请批准逮捕犯罪嫌疑人和移送起诉的案件时对侦查活动是否合法实行监督的权力。人民检察院对侦查活动的监督权力，一方面是惩罚犯罪的主要手段和武器；另一方面，通过监督，发现并纠正侦查中在搜查、扣押、讯问被告人、询问证人、现场勘验、检查、鉴定等环节上的违法乱纪情况，以保护公民的民主权利、人身权利和其他权利。 </w:t>
      </w:r>
    </w:p>
    <w:p>
      <w:pPr>
        <w:pStyle w:val="6"/>
        <w:spacing w:before="0" w:beforeAutospacing="0" w:after="0" w:afterAutospacing="0" w:line="520" w:lineRule="exact"/>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　　4.刑事审判监督权 </w:t>
      </w:r>
    </w:p>
    <w:p>
      <w:pPr>
        <w:pStyle w:val="6"/>
        <w:spacing w:before="0" w:beforeAutospacing="0" w:after="0" w:afterAutospacing="0" w:line="520" w:lineRule="exact"/>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　　刑事审判监督权是人民检察院对审判机关的刑事审判活动是否违反规定的诉讼程序以及对于确有错误的判决和裁定实行监督的权力。人民检察院对审判机关的违法行为有要求其纠正的权力。对法院做出的判决和裁决拥有抗诉权，以保证法院正确行使刑事处罚权（抗诉权同时也是公诉权的组成部分） </w:t>
      </w:r>
    </w:p>
    <w:p>
      <w:pPr>
        <w:pStyle w:val="6"/>
        <w:spacing w:before="0" w:beforeAutospacing="0" w:after="0" w:afterAutospacing="0" w:line="520" w:lineRule="exact"/>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　  5.对刑事判决、裁定的执行和监管改造机关的活动是否合法的监督权 </w:t>
      </w:r>
    </w:p>
    <w:p>
      <w:pPr>
        <w:pStyle w:val="6"/>
        <w:spacing w:before="0" w:beforeAutospacing="0" w:after="0" w:afterAutospacing="0" w:line="520" w:lineRule="exact"/>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　  人民检察院这一职权包括两个方面的内容：一方面是对执行刑事判决、裁定的刑罚，包括生命刑、自由刑和财产刑，是否合法、正确、严肃实行监督的权力；另一方面是对看守所、监狱的监管改造工作是否合法实行监督。 </w:t>
      </w:r>
    </w:p>
    <w:p>
      <w:pPr>
        <w:pStyle w:val="6"/>
        <w:spacing w:before="0" w:beforeAutospacing="0" w:after="0" w:afterAutospacing="0" w:line="520" w:lineRule="exact"/>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　　6.民事审判、行政诉讼监督权 </w:t>
      </w:r>
    </w:p>
    <w:p>
      <w:pPr>
        <w:pStyle w:val="6"/>
        <w:spacing w:before="0" w:beforeAutospacing="0" w:after="0" w:afterAutospacing="0" w:line="520" w:lineRule="exact"/>
        <w:ind w:firstLine="645"/>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民事审判、行政诉讼监督权是指人民检察院对审判机关的民事、行政审判活动是否合法，包括判决、裁决的合法性实行监督的权力。目前其主要内容是对已经发生法律效力但确有错误的判决、裁定提出抗诉。</w:t>
      </w:r>
    </w:p>
    <w:p>
      <w:pPr>
        <w:pStyle w:val="6"/>
        <w:spacing w:before="0" w:beforeAutospacing="0" w:after="0" w:afterAutospacing="0" w:line="520" w:lineRule="exact"/>
        <w:ind w:firstLine="645"/>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 2017年6月27日，全国人大常委会通过修改民事诉讼法和行政诉讼法的相关决定，确立检察机关提起公益诉讼制度，检察机关对损害国家和社会公共利益的违法行为,有权依法向人民法院提起诉讼。</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rPr>
        <w:t>机构设置情况</w:t>
      </w:r>
    </w:p>
    <w:p>
      <w:pPr>
        <w:autoSpaceDE w:val="0"/>
        <w:autoSpaceDN w:val="0"/>
        <w:adjustRightInd w:val="0"/>
        <w:spacing w:line="324" w:lineRule="auto"/>
        <w:ind w:firstLine="594"/>
        <w:rPr>
          <w:rFonts w:ascii="仿宋_GB2312" w:eastAsia="仿宋_GB2312"/>
          <w:bCs/>
          <w:sz w:val="32"/>
          <w:szCs w:val="32"/>
        </w:rPr>
      </w:pPr>
      <w:r>
        <w:rPr>
          <w:rFonts w:hint="eastAsia" w:ascii="仿宋_GB2312" w:eastAsia="仿宋_GB2312"/>
          <w:bCs/>
          <w:sz w:val="32"/>
          <w:szCs w:val="32"/>
        </w:rPr>
        <w:t>从预算单位构成看，浙江省衢州市人民检察院</w:t>
      </w:r>
      <w:r>
        <w:rPr>
          <w:rFonts w:hint="eastAsia" w:ascii="仿宋" w:eastAsia="仿宋"/>
          <w:color w:val="000000"/>
          <w:sz w:val="32"/>
          <w:highlight w:val="white"/>
        </w:rPr>
        <w:t>单位内设：办公室、第一检察部、第二检察部、第三检察部、第四检察部、第五检察部、第六检察部、第七检察部、法律政策研究室、案件管理办公室、检务督察处、检务保障处、组织人事处、宣传教育处。</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11"/>
          <w:rFonts w:hint="eastAsia" w:ascii="黑体" w:eastAsia="黑体"/>
          <w:b w:val="0"/>
          <w:color w:val="000000"/>
          <w:sz w:val="32"/>
          <w:szCs w:val="32"/>
          <w:highlight w:val="none"/>
          <w:lang w:val="en-US" w:eastAsia="zh-CN"/>
        </w:rPr>
        <w:t xml:space="preserve">    </w:t>
      </w:r>
      <w:r>
        <w:rPr>
          <w:rStyle w:val="11"/>
          <w:rFonts w:hint="eastAsia" w:ascii="黑体" w:eastAsia="黑体"/>
          <w:b w:val="0"/>
          <w:color w:val="000000"/>
          <w:sz w:val="32"/>
          <w:szCs w:val="32"/>
          <w:highlight w:val="none"/>
          <w:lang w:eastAsia="zh-CN"/>
        </w:rPr>
        <w:t>二、</w:t>
      </w:r>
      <w:r>
        <w:rPr>
          <w:rStyle w:val="11"/>
          <w:rFonts w:hint="eastAsia" w:ascii="黑体" w:eastAsia="黑体"/>
          <w:b w:val="0"/>
          <w:color w:val="000000"/>
          <w:sz w:val="32"/>
          <w:szCs w:val="32"/>
          <w:highlight w:val="none"/>
          <w:lang w:val="en-US" w:eastAsia="zh-CN"/>
        </w:rPr>
        <w:t>2022</w:t>
      </w:r>
      <w:r>
        <w:rPr>
          <w:rStyle w:val="11"/>
          <w:rFonts w:hint="eastAsia" w:ascii="黑体" w:eastAsia="黑体"/>
          <w:b w:val="0"/>
          <w:color w:val="000000"/>
          <w:sz w:val="32"/>
          <w:szCs w:val="32"/>
          <w:highlight w:val="none"/>
        </w:rPr>
        <w:t>年</w:t>
      </w:r>
      <w:r>
        <w:rPr>
          <w:rStyle w:val="11"/>
          <w:rFonts w:hint="eastAsia" w:ascii="黑体" w:eastAsia="黑体"/>
          <w:b w:val="0"/>
          <w:color w:val="000000"/>
          <w:sz w:val="32"/>
          <w:szCs w:val="32"/>
          <w:highlight w:val="none"/>
        </w:rPr>
        <w:fldChar w:fldCharType="begin"/>
      </w:r>
      <w:r>
        <w:rPr>
          <w:rStyle w:val="11"/>
          <w:rFonts w:hint="eastAsia" w:ascii="黑体" w:eastAsia="黑体"/>
          <w:b w:val="0"/>
          <w:color w:val="000000"/>
          <w:sz w:val="32"/>
          <w:szCs w:val="32"/>
          <w:highlight w:val="none"/>
        </w:rPr>
        <w:instrText xml:space="preserve">MERGEFIELD ${page855778723.ds388518707_V_RPT_BAS_AGENCY_INFO_NAME}</w:instrText>
      </w:r>
      <w:r>
        <w:rPr>
          <w:rStyle w:val="11"/>
          <w:rFonts w:hint="eastAsia" w:ascii="黑体" w:eastAsia="黑体"/>
          <w:b w:val="0"/>
          <w:color w:val="000000"/>
          <w:sz w:val="32"/>
          <w:szCs w:val="32"/>
          <w:highlight w:val="none"/>
        </w:rPr>
        <w:fldChar w:fldCharType="separate"/>
      </w:r>
      <w:r>
        <w:rPr>
          <w:rStyle w:val="11"/>
          <w:rFonts w:hint="eastAsia" w:ascii="黑体" w:eastAsia="黑体"/>
          <w:b w:val="0"/>
          <w:color w:val="000000"/>
          <w:sz w:val="32"/>
          <w:szCs w:val="32"/>
          <w:highlight w:val="none"/>
        </w:rPr>
        <w:t>衢州市检察院</w:t>
      </w:r>
      <w:r>
        <w:fldChar w:fldCharType="end"/>
      </w:r>
      <w:r>
        <w:rPr>
          <w:rStyle w:val="11"/>
          <w:rFonts w:hint="eastAsia" w:ascii="黑体" w:eastAsia="黑体"/>
          <w:b w:val="0"/>
          <w:color w:val="000000"/>
          <w:sz w:val="32"/>
          <w:szCs w:val="32"/>
          <w:highlight w:val="none"/>
          <w:lang w:val="en-US" w:eastAsia="zh-CN"/>
        </w:rPr>
        <w:t>单位</w:t>
      </w:r>
      <w:r>
        <w:rPr>
          <w:rStyle w:val="11"/>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Fonts w:hint="eastAsia" w:ascii="楷体_GB2312" w:hAnsi="楷体_GB2312" w:eastAsia="楷体_GB2312" w:cs="楷体_GB2312"/>
          <w:b w:val="0"/>
          <w:bCs w:val="0"/>
          <w:color w:val="000000"/>
          <w:sz w:val="32"/>
          <w:szCs w:val="32"/>
          <w:highlight w:val="none"/>
          <w:lang w:eastAsia="zh-CN"/>
        </w:rPr>
        <w:fldChar w:fldCharType="begin"/>
      </w:r>
      <w:r>
        <w:rPr>
          <w:rFonts w:hint="eastAsia" w:ascii="楷体_GB2312" w:hAnsi="楷体_GB2312" w:eastAsia="楷体_GB2312" w:cs="楷体_GB2312"/>
          <w:b w:val="0"/>
          <w:bCs w:val="0"/>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val="0"/>
          <w:color w:val="000000"/>
          <w:sz w:val="32"/>
          <w:szCs w:val="32"/>
          <w:highlight w:val="none"/>
          <w:lang w:eastAsia="zh-CN"/>
        </w:rPr>
        <w:fldChar w:fldCharType="separate"/>
      </w:r>
      <w:r>
        <w:rPr>
          <w:rFonts w:hint="eastAsia" w:ascii="楷体_GB2312" w:hAnsi="楷体_GB2312" w:eastAsia="楷体_GB2312" w:cs="楷体_GB2312"/>
          <w:b w:val="0"/>
          <w:bCs w:val="0"/>
          <w:color w:val="000000"/>
          <w:sz w:val="32"/>
          <w:szCs w:val="32"/>
          <w:highlight w:val="none"/>
          <w:lang w:eastAsia="zh-CN"/>
        </w:rPr>
        <w:t>衢州市检察院</w:t>
      </w:r>
      <w:r>
        <w:fldChar w:fldCharType="end"/>
      </w:r>
      <w:r>
        <w:rPr>
          <w:rStyle w:val="11"/>
          <w:rFonts w:hint="eastAsia" w:ascii="楷体_GB2312" w:hAnsi="楷体_GB2312" w:eastAsia="楷体_GB2312" w:cs="楷体_GB2312"/>
          <w:b w:val="0"/>
          <w:bCs w:val="0"/>
          <w:color w:val="000000"/>
          <w:sz w:val="32"/>
          <w:szCs w:val="32"/>
          <w:highlight w:val="none"/>
          <w:lang w:val="en-US" w:eastAsia="zh-CN"/>
        </w:rPr>
        <w:t>2022</w:t>
      </w:r>
      <w:r>
        <w:rPr>
          <w:rStyle w:val="11"/>
          <w:rFonts w:hint="eastAsia" w:ascii="楷体_GB2312" w:hAnsi="楷体_GB2312" w:eastAsia="楷体_GB2312" w:cs="楷体_GB2312"/>
          <w:b w:val="0"/>
          <w:bCs w:val="0"/>
          <w:color w:val="000000"/>
          <w:sz w:val="32"/>
          <w:szCs w:val="32"/>
          <w:highlight w:val="none"/>
        </w:rPr>
        <w:t>年</w:t>
      </w:r>
      <w:r>
        <w:rPr>
          <w:rStyle w:val="11"/>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s="Times New Roman"/>
          <w:b w:val="0"/>
          <w:bCs/>
          <w:sz w:val="32"/>
          <w:szCs w:val="32"/>
          <w:highlight w:val="none"/>
          <w:lang w:val="en-US" w:eastAsia="zh-CN"/>
        </w:rPr>
        <w:fldChar w:fldCharType="begin"/>
      </w:r>
      <w:r>
        <w:rPr>
          <w:rFonts w:hint="eastAsia" w:ascii="仿宋_GB2312" w:eastAsia="仿宋_GB2312" w:cs="Times New Roman"/>
          <w:b w:val="0"/>
          <w:bCs/>
          <w:sz w:val="32"/>
          <w:szCs w:val="32"/>
          <w:highlight w:val="none"/>
          <w:lang w:val="en-US" w:eastAsia="zh-CN"/>
        </w:rPr>
        <w:instrText xml:space="preserve">MERGEFIELD ${page855778723.ds388518707_V_RPT_BAS_AGENCY_INFO_NAME}</w:instrText>
      </w:r>
      <w:r>
        <w:rPr>
          <w:rFonts w:hint="eastAsia" w:ascii="仿宋_GB2312" w:eastAsia="仿宋_GB2312" w:cs="Times New Roman"/>
          <w:b w:val="0"/>
          <w:bCs/>
          <w:sz w:val="32"/>
          <w:szCs w:val="32"/>
          <w:highlight w:val="none"/>
          <w:lang w:val="en-US" w:eastAsia="zh-CN"/>
        </w:rPr>
        <w:fldChar w:fldCharType="separate"/>
      </w:r>
      <w:r>
        <w:rPr>
          <w:rFonts w:hint="eastAsia" w:ascii="仿宋_GB2312" w:eastAsia="仿宋_GB2312" w:cs="Times New Roman"/>
          <w:b w:val="0"/>
          <w:bCs/>
          <w:sz w:val="32"/>
          <w:szCs w:val="32"/>
          <w:highlight w:val="none"/>
          <w:lang w:val="en-US" w:eastAsia="zh-CN"/>
        </w:rPr>
        <w:t>衢州市检察院</w:t>
      </w:r>
      <w:r>
        <w:fldChar w:fldCharType="end"/>
      </w:r>
      <w:r>
        <w:rPr>
          <w:rFonts w:hint="eastAsia" w:ascii="仿宋_GB2312" w:eastAsia="仿宋_GB2312"/>
          <w:color w:val="000000"/>
          <w:sz w:val="32"/>
          <w:szCs w:val="32"/>
          <w:highlight w:val="none"/>
          <w:lang w:eastAsia="zh-CN"/>
        </w:rPr>
        <w:t>所有收入和支出均纳入部门预算管理。收入包括：一般公共预算拨款收入、政府性基金预算收入、</w:t>
      </w:r>
      <w:r>
        <w:rPr>
          <w:rFonts w:hint="eastAsia" w:ascii="仿宋_GB2312" w:eastAsia="仿宋_GB2312"/>
          <w:color w:val="000000"/>
          <w:sz w:val="32"/>
          <w:szCs w:val="32"/>
          <w:highlight w:val="none"/>
          <w:lang w:val="en-US" w:eastAsia="zh-CN"/>
        </w:rPr>
        <w:t>国有资本经营预算收入、财政专户管理</w:t>
      </w:r>
      <w:r>
        <w:rPr>
          <w:rFonts w:hint="eastAsia" w:ascii="仿宋_GB2312" w:eastAsia="仿宋_GB2312"/>
          <w:color w:val="000000"/>
          <w:sz w:val="32"/>
          <w:szCs w:val="32"/>
          <w:highlight w:val="none"/>
          <w:lang w:eastAsia="zh-CN"/>
        </w:rPr>
        <w:t>资金收入、事业收入、事业单位经营收入、上级补助收入、附属单位上缴收入、其他收入、上年结转</w:t>
      </w:r>
      <w:r>
        <w:rPr>
          <w:rFonts w:hint="eastAsia" w:ascii="仿宋_GB2312" w:eastAsia="仿宋_GB2312"/>
          <w:color w:val="000000"/>
          <w:sz w:val="32"/>
          <w:szCs w:val="32"/>
          <w:highlight w:val="none"/>
          <w:lang w:val="en-US" w:eastAsia="zh-CN"/>
        </w:rPr>
        <w:t>结余</w:t>
      </w:r>
      <w:r>
        <w:rPr>
          <w:rFonts w:hint="eastAsia" w:ascii="仿宋_GB2312" w:eastAsia="仿宋_GB2312"/>
          <w:color w:val="000000"/>
          <w:sz w:val="32"/>
          <w:szCs w:val="32"/>
          <w:highlight w:val="none"/>
          <w:lang w:eastAsia="zh-CN"/>
        </w:rPr>
        <w:t>；支出包括：一般公共服务支出、外交支出、国防支出、公共安全支出、教育支出、科学技术支出、文化旅游体育与传媒支出、社会保障和就业支出、社会保险基金支出、卫生健康支出、节能环保支出、城乡社区支出、农林水支出、交通运输支出、资源勘探</w:t>
      </w:r>
      <w:r>
        <w:rPr>
          <w:rFonts w:hint="eastAsia" w:ascii="仿宋_GB2312" w:eastAsia="仿宋_GB2312"/>
          <w:color w:val="000000"/>
          <w:sz w:val="32"/>
          <w:szCs w:val="32"/>
          <w:highlight w:val="none"/>
          <w:lang w:val="en-US" w:eastAsia="zh-CN"/>
        </w:rPr>
        <w:t>工业</w:t>
      </w:r>
      <w:r>
        <w:rPr>
          <w:rFonts w:hint="eastAsia" w:ascii="仿宋_GB2312" w:eastAsia="仿宋_GB2312"/>
          <w:color w:val="000000"/>
          <w:sz w:val="32"/>
          <w:szCs w:val="32"/>
          <w:highlight w:val="none"/>
          <w:lang w:eastAsia="zh-CN"/>
        </w:rPr>
        <w:t>信息等支出、商业服务业等支出、金融支出、援助其他地区支出、自然资源海洋气象等支出、住房保障支出、粮油物资储备支出、国有资本经营预算支出、灾害防治及应急管理支出、预备费、其他支出、转移性支出、债务还本支出、债务付息支出、债务发行费用支出、抗疫特别国债安排的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${page855778723.ds388518707_V_RPT_BAS_AGENCY_INFO_NAME}</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衢州市检察院</w:t>
      </w:r>
      <w:r>
        <w:fldChar w:fldCharType="end"/>
      </w:r>
      <w:r>
        <w:rPr>
          <w:rFonts w:hint="eastAsia" w:ascii="仿宋_GB2312" w:eastAsia="仿宋_GB2312"/>
          <w:color w:val="000000"/>
          <w:sz w:val="32"/>
          <w:szCs w:val="32"/>
          <w:highlight w:val="none"/>
          <w:lang w:val="en-US" w:eastAsia="zh-CN"/>
        </w:rPr>
        <w:t>2022年收支总预算5024.64万元。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衢州市检察院</w:t>
      </w:r>
      <w:r>
        <w:fldChar w:fldCharType="end"/>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snapToGrid w:val="0"/>
        <w:spacing w:line="540" w:lineRule="exact"/>
        <w:ind w:firstLine="64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fldChar w:fldCharType="begin"/>
      </w:r>
      <w:r>
        <w:rPr>
          <w:rFonts w:hint="eastAsia" w:ascii="仿宋_GB2312" w:hAnsi="仿宋_GB2312" w:eastAsia="仿宋_GB2312" w:cs="仿宋_GB2312"/>
          <w:color w:val="000000"/>
          <w:sz w:val="32"/>
          <w:szCs w:val="32"/>
          <w:highlight w:val="none"/>
          <w:lang w:val="en-US" w:eastAsia="zh-CN"/>
        </w:rPr>
        <w:instrText xml:space="preserve">MERGEFIELD ${page855778723.ds388518707_V_RPT_BAS_AGENCY_INFO_NAME}</w:instrText>
      </w:r>
      <w:r>
        <w:rPr>
          <w:rFonts w:hint="eastAsia" w:ascii="仿宋_GB2312" w:hAnsi="仿宋_GB2312" w:eastAsia="仿宋_GB2312" w:cs="仿宋_GB2312"/>
          <w:color w:val="000000"/>
          <w:sz w:val="32"/>
          <w:szCs w:val="32"/>
          <w:highlight w:val="none"/>
          <w:lang w:val="en-US" w:eastAsia="zh-CN"/>
        </w:rPr>
        <w:fldChar w:fldCharType="separate"/>
      </w:r>
      <w:r>
        <w:rPr>
          <w:rFonts w:hint="eastAsia" w:ascii="仿宋_GB2312" w:hAnsi="仿宋_GB2312" w:eastAsia="仿宋_GB2312" w:cs="仿宋_GB2312"/>
          <w:color w:val="000000"/>
          <w:sz w:val="32"/>
          <w:szCs w:val="32"/>
          <w:highlight w:val="none"/>
          <w:lang w:val="en-US" w:eastAsia="zh-CN"/>
        </w:rPr>
        <w:t>衢州市检察院</w:t>
      </w:r>
      <w:r>
        <w:rPr>
          <w:highlight w:val="none"/>
        </w:rPr>
        <w:fldChar w:fldCharType="end"/>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5024.64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auto"/>
          <w:sz w:val="32"/>
          <w:szCs w:val="32"/>
          <w:highlight w:val="none"/>
          <w:lang w:eastAsia="zh-CN"/>
        </w:rPr>
        <w:t>比上年预算数增加</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szCs w:val="32"/>
          <w:highlight w:val="none"/>
          <w:lang w:val="en-US" w:eastAsia="zh-CN"/>
        </w:rPr>
        <w:t>主要是</w:t>
      </w:r>
      <w:r>
        <w:rPr>
          <w:rFonts w:hint="eastAsia" w:ascii="仿宋_GB2312" w:eastAsia="仿宋_GB2312"/>
          <w:sz w:val="32"/>
          <w:szCs w:val="32"/>
        </w:rPr>
        <w:t>人员工资调标</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5016.64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上年结转</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${page296906908.ds669801938_V_RPT_BGT_T_HC1100002019_YISHANG_AMTYBGGYSZJ2}</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0.00</w:t>
      </w:r>
      <w:r>
        <w:fldChar w:fldCharType="end"/>
      </w:r>
      <w:r>
        <w:rPr>
          <w:rFonts w:hint="eastAsia" w:ascii="仿宋_GB2312" w:eastAsia="仿宋_GB2312"/>
          <w:color w:val="000000"/>
          <w:sz w:val="32"/>
          <w:szCs w:val="32"/>
          <w:highlight w:val="none"/>
          <w:lang w:val="en-US" w:eastAsia="zh-CN"/>
        </w:rPr>
        <w:t>万元</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，占</w:t>
      </w:r>
      <w:r>
        <w:rPr>
          <w:rFonts w:hint="eastAsia" w:ascii="仿宋_GB2312" w:eastAsia="仿宋_GB2312"/>
          <w:color w:val="000000"/>
          <w:sz w:val="32"/>
          <w:szCs w:val="32"/>
          <w:highlight w:val="none"/>
        </w:rPr>
        <w:fldChar w:fldCharType="begin"/>
      </w:r>
      <w:r>
        <w:rPr>
          <w:rFonts w:hint="eastAsia" w:ascii="仿宋_GB2312" w:eastAsia="仿宋_GB2312"/>
          <w:color w:val="000000"/>
          <w:sz w:val="32"/>
          <w:szCs w:val="32"/>
          <w:highlight w:val="none"/>
        </w:rPr>
        <w:instrText xml:space="preserve">MERGEFIELD ${page928547437.ds208165674_ComputeCol20220214184956}</w:instrText>
      </w:r>
      <w:r>
        <w:rPr>
          <w:rFonts w:hint="eastAsia" w:ascii="仿宋_GB2312" w:eastAsia="仿宋_GB2312"/>
          <w:color w:val="000000"/>
          <w:sz w:val="32"/>
          <w:szCs w:val="32"/>
          <w:highlight w:val="none"/>
        </w:rPr>
        <w:fldChar w:fldCharType="separate"/>
      </w:r>
      <w:r>
        <w:rPr>
          <w:rFonts w:hint="eastAsia" w:ascii="仿宋_GB2312" w:eastAsia="仿宋_GB2312"/>
          <w:color w:val="000000"/>
          <w:sz w:val="32"/>
          <w:szCs w:val="32"/>
          <w:highlight w:val="none"/>
          <w:lang w:val="en-US" w:eastAsia="zh-CN"/>
        </w:rPr>
        <w:t>99.84</w:t>
      </w:r>
      <w:r>
        <w:rPr>
          <w:rFonts w:hint="eastAsia" w:ascii="仿宋_GB2312" w:eastAsia="仿宋_GB2312"/>
          <w:color w:val="000000"/>
          <w:sz w:val="32"/>
          <w:szCs w:val="32"/>
          <w:highlight w:val="none"/>
        </w:rPr>
        <w:t>.0</w:t>
      </w:r>
      <w:r>
        <w:fldChar w:fldCharType="end"/>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上年结转</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${page296906908.ds669801938_V_RPT_BGT_T_HC1100002019_YISHANG_AMTZFXJJYSZJ2}</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0.00</w:t>
      </w:r>
      <w:r>
        <w:fldChar w:fldCharType="end"/>
      </w:r>
      <w:r>
        <w:rPr>
          <w:rFonts w:hint="eastAsia" w:ascii="仿宋_GB2312" w:eastAsia="仿宋_GB2312"/>
          <w:color w:val="000000"/>
          <w:sz w:val="32"/>
          <w:szCs w:val="32"/>
          <w:highlight w:val="none"/>
          <w:lang w:val="en-US" w:eastAsia="zh-CN"/>
        </w:rPr>
        <w:t>万元</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，占</w:t>
      </w:r>
      <w:r>
        <w:rPr>
          <w:rFonts w:hint="eastAsia" w:ascii="仿宋_GB2312" w:eastAsia="仿宋_GB2312"/>
          <w:color w:val="000000"/>
          <w:sz w:val="32"/>
          <w:szCs w:val="32"/>
          <w:highlight w:val="none"/>
          <w:lang w:val="en-US" w:eastAsia="zh-CN"/>
        </w:rPr>
        <w:t>0.16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衢州市检察院</w:t>
      </w:r>
      <w:r>
        <w:fldChar w:fldCharType="end"/>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rPr>
        <w:fldChar w:fldCharType="begin"/>
      </w:r>
      <w:r>
        <w:rPr>
          <w:rFonts w:hint="eastAsia" w:ascii="仿宋_GB2312" w:hAnsi="仿宋_GB2312" w:eastAsia="仿宋_GB2312" w:cs="仿宋_GB2312"/>
          <w:color w:val="000000"/>
          <w:sz w:val="32"/>
          <w:szCs w:val="32"/>
          <w:highlight w:val="none"/>
        </w:rPr>
        <w:instrText xml:space="preserve">MERGEFIELD ${page855778723.ds388518707_V_RPT_BAS_AGENCY_INFO_NAME}</w:instrText>
      </w:r>
      <w:r>
        <w:rPr>
          <w:rFonts w:hint="eastAsia" w:ascii="仿宋_GB2312" w:hAnsi="仿宋_GB2312" w:eastAsia="仿宋_GB2312" w:cs="仿宋_GB2312"/>
          <w:color w:val="000000"/>
          <w:sz w:val="32"/>
          <w:szCs w:val="32"/>
          <w:highlight w:val="none"/>
        </w:rPr>
        <w:fldChar w:fldCharType="separate"/>
      </w:r>
      <w:r>
        <w:rPr>
          <w:rFonts w:hint="eastAsia" w:ascii="仿宋_GB2312" w:hAnsi="仿宋_GB2312" w:eastAsia="仿宋_GB2312" w:cs="仿宋_GB2312"/>
          <w:color w:val="000000"/>
          <w:sz w:val="32"/>
          <w:szCs w:val="32"/>
          <w:highlight w:val="none"/>
        </w:rPr>
        <w:t>衢州市检察院</w:t>
      </w:r>
      <w:r>
        <w:rPr>
          <w:highlight w:val="none"/>
        </w:rPr>
        <w:fldChar w:fldCharType="end"/>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5024.64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auto"/>
          <w:sz w:val="32"/>
          <w:szCs w:val="32"/>
          <w:highlight w:val="none"/>
          <w:lang w:eastAsia="zh-CN"/>
        </w:rPr>
        <w:t>比上年执行数增加</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szCs w:val="32"/>
          <w:highlight w:val="none"/>
          <w:lang w:val="en-US" w:eastAsia="zh-CN"/>
        </w:rPr>
        <w:t>主要是</w:t>
      </w:r>
      <w:r>
        <w:rPr>
          <w:rFonts w:hint="eastAsia" w:ascii="仿宋_GB2312" w:eastAsia="仿宋_GB2312"/>
          <w:sz w:val="32"/>
          <w:szCs w:val="32"/>
        </w:rPr>
        <w:t>人员工资调标</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公共安全支出</w:t>
      </w:r>
      <w:r>
        <w:rPr>
          <w:rFonts w:hint="eastAsia" w:ascii="仿宋_GB2312" w:eastAsia="仿宋_GB2312"/>
          <w:color w:val="000000"/>
          <w:sz w:val="32"/>
          <w:szCs w:val="32"/>
          <w:highlight w:val="none"/>
          <w:lang w:val="en-US" w:eastAsia="zh-CN"/>
        </w:rPr>
        <w:t>4291.01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351.88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lang w:val="en-US" w:eastAsia="zh-CN"/>
        </w:rPr>
        <w:t>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373.75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3842.66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76.48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487.83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9.71</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694.15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13.81</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${page855778723.ds388518707_V_REP_BGT_DEP_INCOME_JZXN}</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0.00</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衢州市检察院</w:t>
      </w:r>
      <w:r>
        <w:fldChar w:fldCharType="end"/>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${page855778723.ds388518707_V_RPT_BAS_AGENCY_INFO_NAME}</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衢州市检察院</w:t>
      </w:r>
      <w:r>
        <w:fldChar w:fldCharType="end"/>
      </w:r>
      <w:r>
        <w:rPr>
          <w:rFonts w:hint="eastAsia" w:ascii="仿宋_GB2312" w:eastAsia="仿宋_GB2312"/>
          <w:color w:val="000000"/>
          <w:sz w:val="32"/>
          <w:szCs w:val="32"/>
          <w:highlight w:val="none"/>
          <w:lang w:val="en-US" w:eastAsia="zh-CN"/>
        </w:rPr>
        <w:t>2022年财政拨款收支总预算5024.64万元。收入包括：一般公共预算5016.64万元、政府性基金8万元；支出包括：</w:t>
      </w:r>
      <w:r>
        <w:rPr>
          <w:rFonts w:hint="eastAsia" w:ascii="仿宋_GB2312" w:eastAsia="仿宋_GB2312"/>
          <w:color w:val="000000"/>
          <w:sz w:val="32"/>
          <w:szCs w:val="32"/>
          <w:highlight w:val="none"/>
          <w:lang w:eastAsia="zh-CN"/>
        </w:rPr>
        <w:t>公共安全支出</w:t>
      </w:r>
      <w:r>
        <w:rPr>
          <w:rFonts w:hint="eastAsia" w:ascii="仿宋_GB2312" w:eastAsia="仿宋_GB2312"/>
          <w:color w:val="000000"/>
          <w:sz w:val="32"/>
          <w:szCs w:val="32"/>
          <w:highlight w:val="none"/>
          <w:lang w:val="en-US" w:eastAsia="zh-CN"/>
        </w:rPr>
        <w:t>4291.01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351.88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lang w:val="en-US" w:eastAsia="zh-CN"/>
        </w:rPr>
        <w:t>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373.75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衢州市检察院</w:t>
      </w:r>
      <w:r>
        <w:fldChar w:fldCharType="end"/>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1.一般公共预算拨款规模变化情况。</w:t>
      </w:r>
    </w:p>
    <w:p>
      <w:pPr>
        <w:snapToGrid w:val="0"/>
        <w:spacing w:line="540" w:lineRule="exact"/>
        <w:ind w:firstLine="642"/>
        <w:rPr>
          <w:rFonts w:ascii="仿宋_GB2312" w:eastAsia="仿宋_GB2312"/>
          <w:color w:val="000000"/>
          <w:sz w:val="32"/>
          <w:szCs w:val="32"/>
        </w:rPr>
      </w:pPr>
      <w:r>
        <w:rPr>
          <w:rFonts w:hint="eastAsia" w:ascii="仿宋_GB2312" w:hAnsi="仿宋_GB2312" w:eastAsia="仿宋_GB2312" w:cs="仿宋_GB2312"/>
          <w:color w:val="000000"/>
          <w:sz w:val="32"/>
          <w:szCs w:val="32"/>
          <w:highlight w:val="none"/>
          <w:lang w:val="en-US" w:eastAsia="zh-CN"/>
        </w:rPr>
        <w:fldChar w:fldCharType="begin"/>
      </w:r>
      <w:r>
        <w:rPr>
          <w:rFonts w:hint="eastAsia" w:ascii="仿宋_GB2312" w:hAnsi="仿宋_GB2312" w:eastAsia="仿宋_GB2312" w:cs="仿宋_GB2312"/>
          <w:color w:val="000000"/>
          <w:sz w:val="32"/>
          <w:szCs w:val="32"/>
          <w:highlight w:val="none"/>
          <w:lang w:val="en-US" w:eastAsia="zh-CN"/>
        </w:rPr>
        <w:instrText xml:space="preserve">MERGEFIELD ${page855778723.ds388518707_V_RPT_BAS_AGENCY_INFO_NAME}</w:instrText>
      </w:r>
      <w:r>
        <w:rPr>
          <w:rFonts w:hint="eastAsia" w:ascii="仿宋_GB2312" w:hAnsi="仿宋_GB2312" w:eastAsia="仿宋_GB2312" w:cs="仿宋_GB2312"/>
          <w:color w:val="000000"/>
          <w:sz w:val="32"/>
          <w:szCs w:val="32"/>
          <w:highlight w:val="none"/>
          <w:lang w:val="en-US" w:eastAsia="zh-CN"/>
        </w:rPr>
        <w:fldChar w:fldCharType="separate"/>
      </w:r>
      <w:r>
        <w:rPr>
          <w:rFonts w:hint="eastAsia" w:ascii="仿宋_GB2312" w:hAnsi="仿宋_GB2312" w:eastAsia="仿宋_GB2312" w:cs="仿宋_GB2312"/>
          <w:color w:val="000000"/>
          <w:sz w:val="32"/>
          <w:szCs w:val="32"/>
          <w:highlight w:val="none"/>
          <w:lang w:val="en-US" w:eastAsia="zh-CN"/>
        </w:rPr>
        <w:t>衢州市检察院</w:t>
      </w:r>
      <w:r>
        <w:rPr>
          <w:highlight w:val="none"/>
        </w:rPr>
        <w:fldChar w:fldCharType="end"/>
      </w:r>
      <w:r>
        <w:rPr>
          <w:rFonts w:hint="eastAsia" w:ascii="仿宋_GB2312" w:hAnsi="仿宋_GB2312" w:eastAsia="仿宋_GB2312" w:cs="仿宋_GB2312"/>
          <w:color w:val="000000"/>
          <w:sz w:val="32"/>
          <w:szCs w:val="32"/>
          <w:highlight w:val="none"/>
          <w:lang w:val="en-US" w:eastAsia="zh-CN"/>
        </w:rPr>
        <w:t>2022年一般公共预算拨款</w:t>
      </w:r>
      <w:r>
        <w:rPr>
          <w:rFonts w:hint="eastAsia" w:ascii="仿宋_GB2312" w:hAnsi="仿宋_GB2312" w:eastAsia="仿宋_GB2312" w:cs="仿宋_GB2312"/>
          <w:b w:val="0"/>
          <w:bCs/>
          <w:color w:val="000000"/>
          <w:sz w:val="32"/>
          <w:szCs w:val="32"/>
          <w:highlight w:val="none"/>
          <w:lang w:val="en-US" w:eastAsia="zh-CN"/>
        </w:rPr>
        <w:t>5016.64</w:t>
      </w:r>
      <w:r>
        <w:rPr>
          <w:rFonts w:hint="eastAsia" w:ascii="仿宋_GB2312" w:hAnsi="仿宋_GB2312" w:eastAsia="仿宋_GB2312" w:cs="仿宋_GB2312"/>
          <w:color w:val="000000"/>
          <w:sz w:val="32"/>
          <w:szCs w:val="32"/>
          <w:highlight w:val="none"/>
          <w:lang w:val="en-US" w:eastAsia="zh-CN"/>
        </w:rPr>
        <w:t>万元，</w:t>
      </w:r>
      <w:r>
        <w:rPr>
          <w:rFonts w:hint="eastAsia" w:ascii="仿宋_GB2312" w:eastAsia="仿宋_GB2312"/>
          <w:color w:val="000000"/>
          <w:sz w:val="32"/>
          <w:szCs w:val="32"/>
        </w:rPr>
        <w:t>比上年执行数增加</w:t>
      </w:r>
      <w:r>
        <w:rPr>
          <w:rFonts w:hint="eastAsia" w:ascii="仿宋_GB2312" w:eastAsia="仿宋_GB2312"/>
          <w:color w:val="000000"/>
          <w:sz w:val="32"/>
          <w:szCs w:val="32"/>
          <w:lang w:eastAsia="zh-CN"/>
        </w:rPr>
        <w:t>，</w:t>
      </w:r>
      <w:r>
        <w:rPr>
          <w:rFonts w:hint="eastAsia" w:ascii="仿宋_GB2312" w:eastAsia="仿宋_GB2312"/>
          <w:color w:val="000000"/>
          <w:sz w:val="32"/>
          <w:szCs w:val="32"/>
        </w:rPr>
        <w:t>主要是</w:t>
      </w:r>
      <w:r>
        <w:rPr>
          <w:rFonts w:hint="eastAsia" w:ascii="仿宋_GB2312" w:eastAsia="仿宋_GB2312"/>
          <w:sz w:val="32"/>
          <w:szCs w:val="32"/>
        </w:rPr>
        <w:t>人员工资调标</w:t>
      </w:r>
      <w:r>
        <w:rPr>
          <w:rFonts w:hint="eastAsia" w:ascii="仿宋_GB2312" w:eastAsia="仿宋_GB2312"/>
          <w:color w:val="000000"/>
          <w:sz w:val="32"/>
          <w:szCs w:val="32"/>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公共安全（类）支出</w:t>
      </w:r>
      <w:r>
        <w:rPr>
          <w:rFonts w:hint="eastAsia" w:ascii="仿宋_GB2312" w:hAnsi="仿宋_GB2312" w:eastAsia="仿宋_GB2312" w:cs="仿宋_GB2312"/>
          <w:color w:val="000000"/>
          <w:sz w:val="32"/>
          <w:szCs w:val="32"/>
          <w:highlight w:val="none"/>
          <w:lang w:val="en-US" w:eastAsia="zh-CN"/>
        </w:rPr>
        <w:t>4291.01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85.54</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；社会保障和就业（类）支出</w:t>
      </w:r>
      <w:r>
        <w:rPr>
          <w:rFonts w:hint="eastAsia" w:ascii="仿宋_GB2312" w:hAnsi="仿宋_GB2312" w:eastAsia="仿宋_GB2312" w:cs="仿宋_GB2312"/>
          <w:color w:val="000000"/>
          <w:sz w:val="32"/>
          <w:szCs w:val="32"/>
          <w:highlight w:val="none"/>
          <w:lang w:val="en-US" w:eastAsia="zh-CN"/>
        </w:rPr>
        <w:t>351.88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7.01</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；住房保障（类）支出</w:t>
      </w:r>
      <w:r>
        <w:rPr>
          <w:rFonts w:hint="eastAsia" w:ascii="仿宋_GB2312" w:hAnsi="仿宋_GB2312" w:eastAsia="仿宋_GB2312" w:cs="仿宋_GB2312"/>
          <w:color w:val="000000"/>
          <w:sz w:val="32"/>
          <w:szCs w:val="32"/>
          <w:highlight w:val="none"/>
          <w:lang w:val="en-US" w:eastAsia="zh-CN"/>
        </w:rPr>
        <w:t>373.75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7.45</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left="963" w:leftChars="0" w:right="0" w:rightChars="0" w:firstLine="0" w:firstLineChars="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一般公共预算拨款具体使用情况。</w:t>
      </w:r>
    </w:p>
    <w:p>
      <w:pPr>
        <w:numPr>
          <w:ilvl w:val="0"/>
          <w:numId w:val="3"/>
        </w:numPr>
        <w:spacing w:line="540" w:lineRule="exact"/>
        <w:ind w:firstLine="640"/>
        <w:jc w:val="left"/>
        <w:rPr>
          <w:rFonts w:hint="eastAsia" w:ascii="仿宋_GB2312" w:eastAsia="仿宋_GB2312"/>
          <w:color w:val="000000"/>
          <w:sz w:val="32"/>
          <w:szCs w:val="32"/>
        </w:rPr>
      </w:pPr>
      <w:r>
        <w:rPr>
          <w:rFonts w:hint="eastAsia" w:ascii="仿宋_GB2312" w:eastAsia="仿宋_GB2312"/>
          <w:color w:val="000000"/>
          <w:sz w:val="32"/>
          <w:szCs w:val="32"/>
        </w:rPr>
        <w:t>公共安全支出（类）检察（款）行政运行（项）</w:t>
      </w:r>
      <w:r>
        <w:rPr>
          <w:rFonts w:hint="eastAsia" w:ascii="仿宋_GB2312" w:eastAsia="仿宋_GB2312"/>
          <w:color w:val="000000"/>
          <w:sz w:val="32"/>
          <w:szCs w:val="32"/>
          <w:lang w:val="en-US" w:eastAsia="zh-CN"/>
        </w:rPr>
        <w:t>3604.86</w:t>
      </w:r>
      <w:r>
        <w:rPr>
          <w:rFonts w:hint="eastAsia" w:ascii="仿宋_GB2312" w:eastAsia="仿宋_GB2312"/>
          <w:color w:val="000000"/>
          <w:sz w:val="32"/>
          <w:szCs w:val="32"/>
        </w:rPr>
        <w:t>万元，主要用于检察机关人员支出和日常工作运行支出。</w:t>
      </w:r>
    </w:p>
    <w:p>
      <w:pPr>
        <w:ind w:firstLine="640" w:firstLineChars="200"/>
      </w:pPr>
      <w:r>
        <w:rPr>
          <w:rFonts w:hint="eastAsia" w:ascii="仿宋_GB2312" w:eastAsia="仿宋_GB2312"/>
          <w:color w:val="000000"/>
          <w:sz w:val="32"/>
          <w:szCs w:val="32"/>
        </w:rPr>
        <w:t>（2）公共安全支出（类）检察（款）一般行政管理事务（项）3</w:t>
      </w:r>
      <w:r>
        <w:rPr>
          <w:rFonts w:hint="eastAsia" w:ascii="仿宋_GB2312" w:eastAsia="仿宋_GB2312"/>
          <w:color w:val="000000"/>
          <w:sz w:val="32"/>
          <w:szCs w:val="32"/>
          <w:lang w:val="en-US" w:eastAsia="zh-CN"/>
        </w:rPr>
        <w:t>03.85</w:t>
      </w:r>
      <w:r>
        <w:rPr>
          <w:rFonts w:hint="eastAsia" w:ascii="仿宋_GB2312" w:eastAsia="仿宋_GB2312"/>
          <w:color w:val="000000"/>
          <w:sz w:val="32"/>
          <w:szCs w:val="32"/>
        </w:rPr>
        <w:t>万元，主要用于</w:t>
      </w:r>
      <w:r>
        <w:rPr>
          <w:rFonts w:hint="eastAsia" w:ascii="仿宋_GB2312" w:hAnsi="仿宋_GB2312" w:eastAsia="仿宋_GB2312"/>
          <w:sz w:val="32"/>
        </w:rPr>
        <w:t>信息化建设、检察机关依法开展法律监督工作的支出</w:t>
      </w:r>
      <w:r>
        <w:rPr>
          <w:rFonts w:hint="eastAsia" w:ascii="仿宋_GB2312" w:eastAsia="仿宋_GB2312"/>
          <w:color w:val="000000"/>
          <w:sz w:val="32"/>
          <w:szCs w:val="32"/>
        </w:rPr>
        <w:t>。</w:t>
      </w:r>
    </w:p>
    <w:p>
      <w:pPr>
        <w:pStyle w:val="2"/>
        <w:ind w:firstLine="160" w:firstLineChars="50"/>
        <w:rPr>
          <w:rFonts w:hint="default"/>
        </w:rPr>
      </w:pPr>
      <w:r>
        <w:rPr>
          <w:sz w:val="32"/>
          <w:szCs w:val="32"/>
        </w:rPr>
        <w:t xml:space="preserve">  </w:t>
      </w:r>
      <w:r>
        <w:rPr>
          <w:rFonts w:hint="eastAsia"/>
          <w:sz w:val="32"/>
          <w:szCs w:val="32"/>
          <w:lang w:val="en-US" w:eastAsia="zh-CN"/>
        </w:rPr>
        <w:t xml:space="preserve"> </w:t>
      </w:r>
      <w:r>
        <w:rPr>
          <w:sz w:val="32"/>
          <w:szCs w:val="32"/>
        </w:rPr>
        <w:t>（</w:t>
      </w:r>
      <w:r>
        <w:rPr>
          <w:rFonts w:hint="eastAsia"/>
          <w:sz w:val="32"/>
          <w:szCs w:val="32"/>
          <w:lang w:val="en-US" w:eastAsia="zh-CN"/>
        </w:rPr>
        <w:t>3</w:t>
      </w:r>
      <w:r>
        <w:rPr>
          <w:sz w:val="32"/>
          <w:szCs w:val="32"/>
        </w:rPr>
        <w:t>）</w:t>
      </w:r>
      <w:r>
        <w:rPr>
          <w:sz w:val="32"/>
        </w:rPr>
        <w:t>公共安全支出（类）检察（款）检察监督（项）</w:t>
      </w:r>
      <w:r>
        <w:rPr>
          <w:rFonts w:hint="eastAsia"/>
          <w:sz w:val="32"/>
          <w:lang w:val="en-US" w:eastAsia="zh-CN"/>
        </w:rPr>
        <w:t>130</w:t>
      </w:r>
      <w:r>
        <w:rPr>
          <w:sz w:val="32"/>
        </w:rPr>
        <w:t>万元，主要用于检察机关依法开展法律监督工作的支出。</w:t>
      </w:r>
    </w:p>
    <w:p>
      <w:pPr>
        <w:pStyle w:val="2"/>
        <w:ind w:firstLine="640" w:firstLineChars="200"/>
        <w:rPr>
          <w:rFonts w:hint="default"/>
          <w:sz w:val="32"/>
        </w:rPr>
      </w:pPr>
      <w:r>
        <w:rPr>
          <w:rFonts w:hint="eastAsia" w:ascii="仿宋_GB2312" w:eastAsia="仿宋_GB2312"/>
          <w:color w:val="000000"/>
          <w:sz w:val="32"/>
          <w:szCs w:val="32"/>
        </w:rPr>
        <w:t>（</w:t>
      </w:r>
      <w:r>
        <w:rPr>
          <w:rFonts w:hint="eastAsia"/>
          <w:color w:val="000000"/>
          <w:sz w:val="32"/>
          <w:szCs w:val="32"/>
          <w:lang w:val="en-US" w:eastAsia="zh-CN"/>
        </w:rPr>
        <w:t>4</w:t>
      </w:r>
      <w:r>
        <w:rPr>
          <w:rFonts w:hint="eastAsia" w:ascii="仿宋_GB2312" w:eastAsia="仿宋_GB2312"/>
          <w:color w:val="000000"/>
          <w:sz w:val="32"/>
          <w:szCs w:val="32"/>
        </w:rPr>
        <w:t>）</w:t>
      </w:r>
      <w:r>
        <w:rPr>
          <w:sz w:val="32"/>
        </w:rPr>
        <w:t>公共安全支出（类）检察（款）其他检察支出（项）</w:t>
      </w:r>
      <w:r>
        <w:rPr>
          <w:rFonts w:hint="eastAsia"/>
          <w:sz w:val="32"/>
          <w:lang w:val="en-US" w:eastAsia="zh-CN"/>
        </w:rPr>
        <w:t>252.3</w:t>
      </w:r>
      <w:r>
        <w:rPr>
          <w:sz w:val="32"/>
        </w:rPr>
        <w:t>万元，主要用于检察方面的支出。</w:t>
      </w:r>
    </w:p>
    <w:p>
      <w:pPr>
        <w:spacing w:line="540" w:lineRule="exact"/>
        <w:ind w:firstLine="640"/>
        <w:jc w:val="left"/>
        <w:rPr>
          <w:rFonts w:ascii="仿宋_GB2312" w:eastAsia="仿宋_GB2312"/>
          <w:color w:val="000000"/>
          <w:sz w:val="32"/>
          <w:szCs w:val="32"/>
        </w:rPr>
      </w:pPr>
      <w:r>
        <w:rPr>
          <w:rFonts w:hint="eastAsia" w:ascii="仿宋_GB2312" w:eastAsia="仿宋_GB2312"/>
          <w:color w:val="000000"/>
          <w:sz w:val="32"/>
          <w:szCs w:val="32"/>
        </w:rPr>
        <w:t>（5）社会保障和就业支出（类）行政事业单位养老支出（款）机关事业单位基本养老保险缴费支出（项）</w:t>
      </w:r>
      <w:r>
        <w:rPr>
          <w:rFonts w:hint="eastAsia" w:ascii="仿宋_GB2312" w:eastAsia="仿宋_GB2312"/>
          <w:color w:val="000000"/>
          <w:sz w:val="32"/>
          <w:szCs w:val="32"/>
          <w:lang w:val="en-US" w:eastAsia="zh-CN"/>
        </w:rPr>
        <w:t>152.99</w:t>
      </w:r>
      <w:r>
        <w:rPr>
          <w:rFonts w:hint="eastAsia" w:ascii="仿宋_GB2312" w:eastAsia="仿宋_GB2312"/>
          <w:color w:val="000000"/>
          <w:sz w:val="32"/>
          <w:szCs w:val="32"/>
        </w:rPr>
        <w:t>万元，主要用于单位基本养老保险缴费支出。</w:t>
      </w:r>
    </w:p>
    <w:p>
      <w:pPr>
        <w:spacing w:line="540" w:lineRule="exact"/>
        <w:ind w:firstLine="640"/>
        <w:jc w:val="left"/>
        <w:rPr>
          <w:rFonts w:ascii="仿宋_GB2312" w:eastAsia="仿宋_GB2312"/>
          <w:color w:val="000000"/>
          <w:sz w:val="32"/>
          <w:szCs w:val="32"/>
        </w:rPr>
      </w:pPr>
      <w:r>
        <w:rPr>
          <w:rFonts w:hint="eastAsia" w:ascii="仿宋_GB2312" w:eastAsia="仿宋_GB2312"/>
          <w:color w:val="000000"/>
          <w:sz w:val="32"/>
          <w:szCs w:val="32"/>
        </w:rPr>
        <w:t>（6）社会保障和就业支出（类）行政事业单位养老支出（款）机关事业单位职业年金缴费支出（项）</w:t>
      </w:r>
      <w:r>
        <w:rPr>
          <w:rFonts w:hint="eastAsia" w:ascii="仿宋_GB2312" w:eastAsia="仿宋_GB2312"/>
          <w:color w:val="000000"/>
          <w:sz w:val="32"/>
          <w:szCs w:val="32"/>
          <w:lang w:val="en-US" w:eastAsia="zh-CN"/>
        </w:rPr>
        <w:t>76.5</w:t>
      </w:r>
      <w:r>
        <w:rPr>
          <w:rFonts w:hint="eastAsia" w:ascii="仿宋_GB2312" w:eastAsia="仿宋_GB2312"/>
          <w:color w:val="000000"/>
          <w:sz w:val="32"/>
          <w:szCs w:val="32"/>
        </w:rPr>
        <w:t>万元，主要用于单位职业年金缴费支出。</w:t>
      </w:r>
    </w:p>
    <w:p>
      <w:pPr>
        <w:spacing w:line="324" w:lineRule="auto"/>
        <w:ind w:firstLine="595"/>
        <w:rPr>
          <w:rFonts w:hint="eastAsia" w:ascii="仿宋_GB2312" w:eastAsia="仿宋_GB2312"/>
          <w:color w:val="auto"/>
          <w:sz w:val="32"/>
          <w:szCs w:val="32"/>
        </w:rPr>
      </w:pPr>
      <w:r>
        <w:rPr>
          <w:rFonts w:hint="eastAsia" w:ascii="仿宋_GB2312" w:eastAsia="仿宋_GB2312"/>
          <w:color w:val="auto"/>
          <w:sz w:val="32"/>
          <w:szCs w:val="32"/>
        </w:rPr>
        <w:t>（7）社会保障和就业支出（类）行政事业单位养老支出（款）其他行政事业单位养老支出（项）</w:t>
      </w:r>
      <w:r>
        <w:rPr>
          <w:rFonts w:hint="eastAsia" w:ascii="仿宋_GB2312" w:eastAsia="仿宋_GB2312"/>
          <w:color w:val="auto"/>
          <w:sz w:val="32"/>
          <w:szCs w:val="32"/>
          <w:lang w:val="en-US" w:eastAsia="zh-CN"/>
        </w:rPr>
        <w:t>64.66</w:t>
      </w:r>
      <w:r>
        <w:rPr>
          <w:rFonts w:hint="eastAsia" w:ascii="仿宋_GB2312" w:eastAsia="仿宋_GB2312"/>
          <w:color w:val="auto"/>
          <w:sz w:val="32"/>
          <w:szCs w:val="32"/>
        </w:rPr>
        <w:t>万元，主要用于行政事业单位养老方面的支出。</w:t>
      </w:r>
    </w:p>
    <w:p>
      <w:pPr>
        <w:spacing w:line="324" w:lineRule="auto"/>
        <w:ind w:firstLine="595"/>
      </w:pPr>
      <w:r>
        <w:rPr>
          <w:rFonts w:hint="eastAsia" w:ascii="仿宋_GB2312" w:eastAsia="仿宋_GB2312"/>
          <w:color w:val="auto"/>
          <w:sz w:val="32"/>
          <w:szCs w:val="32"/>
        </w:rPr>
        <w:t>（</w:t>
      </w:r>
      <w:r>
        <w:rPr>
          <w:rFonts w:hint="eastAsia"/>
          <w:color w:val="auto"/>
          <w:sz w:val="32"/>
          <w:szCs w:val="32"/>
          <w:lang w:val="en-US" w:eastAsia="zh-CN"/>
        </w:rPr>
        <w:t>8</w:t>
      </w:r>
      <w:r>
        <w:rPr>
          <w:rFonts w:hint="eastAsia" w:ascii="仿宋_GB2312" w:eastAsia="仿宋_GB2312"/>
          <w:color w:val="auto"/>
          <w:sz w:val="32"/>
          <w:szCs w:val="32"/>
        </w:rPr>
        <w:t>）社会保障和就业支出（类）</w:t>
      </w:r>
      <w:r>
        <w:rPr>
          <w:rFonts w:hint="eastAsia" w:ascii="仿宋_GB2312" w:eastAsia="仿宋_GB2312"/>
          <w:color w:val="auto"/>
          <w:sz w:val="32"/>
          <w:szCs w:val="32"/>
          <w:lang w:eastAsia="zh-CN"/>
        </w:rPr>
        <w:t>财政对</w:t>
      </w:r>
      <w:r>
        <w:rPr>
          <w:rFonts w:hint="eastAsia" w:ascii="仿宋_GB2312" w:eastAsia="仿宋_GB2312"/>
          <w:color w:val="auto"/>
          <w:sz w:val="32"/>
          <w:szCs w:val="32"/>
        </w:rPr>
        <w:t>其他</w:t>
      </w:r>
      <w:r>
        <w:rPr>
          <w:rFonts w:hint="eastAsia" w:ascii="仿宋_GB2312" w:eastAsia="仿宋_GB2312"/>
          <w:color w:val="auto"/>
          <w:sz w:val="32"/>
          <w:szCs w:val="32"/>
          <w:lang w:eastAsia="zh-CN"/>
        </w:rPr>
        <w:t>社会保险基金的补助</w:t>
      </w:r>
      <w:r>
        <w:rPr>
          <w:rFonts w:hint="eastAsia" w:ascii="仿宋_GB2312" w:eastAsia="仿宋_GB2312"/>
          <w:color w:val="auto"/>
          <w:sz w:val="32"/>
          <w:szCs w:val="32"/>
        </w:rPr>
        <w:t>（款）</w:t>
      </w:r>
      <w:r>
        <w:rPr>
          <w:rFonts w:hint="eastAsia" w:ascii="仿宋_GB2312" w:eastAsia="仿宋_GB2312"/>
          <w:color w:val="auto"/>
          <w:sz w:val="32"/>
          <w:szCs w:val="32"/>
          <w:lang w:eastAsia="zh-CN"/>
        </w:rPr>
        <w:t>其他财政对社会保险基金的补助</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57.73</w:t>
      </w:r>
      <w:r>
        <w:rPr>
          <w:rFonts w:hint="eastAsia" w:ascii="仿宋_GB2312" w:eastAsia="仿宋_GB2312"/>
          <w:color w:val="auto"/>
          <w:sz w:val="32"/>
          <w:szCs w:val="32"/>
        </w:rPr>
        <w:t>万元，主要用于</w:t>
      </w:r>
      <w:r>
        <w:rPr>
          <w:rFonts w:hint="eastAsia" w:ascii="仿宋_GB2312" w:eastAsia="仿宋_GB2312"/>
          <w:color w:val="auto"/>
          <w:sz w:val="32"/>
          <w:szCs w:val="32"/>
          <w:lang w:eastAsia="zh-CN"/>
        </w:rPr>
        <w:t>其他财政对社会保险基金的补助支出</w:t>
      </w:r>
      <w:r>
        <w:rPr>
          <w:rFonts w:hint="eastAsia" w:ascii="仿宋_GB2312" w:eastAsia="仿宋_GB2312"/>
          <w:color w:val="auto"/>
          <w:sz w:val="32"/>
          <w:szCs w:val="32"/>
        </w:rPr>
        <w:t>。</w:t>
      </w:r>
    </w:p>
    <w:p>
      <w:pPr>
        <w:spacing w:line="540" w:lineRule="exact"/>
        <w:ind w:firstLine="640"/>
        <w:jc w:val="left"/>
        <w:rPr>
          <w:rFonts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）住房保障支出（类）住房改革支出（款）住房公积金（项）</w:t>
      </w:r>
      <w:r>
        <w:rPr>
          <w:rFonts w:hint="eastAsia" w:ascii="仿宋_GB2312" w:eastAsia="仿宋_GB2312"/>
          <w:color w:val="000000"/>
          <w:sz w:val="32"/>
          <w:szCs w:val="32"/>
          <w:lang w:val="en-US" w:eastAsia="zh-CN"/>
        </w:rPr>
        <w:t>373.75</w:t>
      </w:r>
      <w:r>
        <w:rPr>
          <w:rFonts w:hint="eastAsia" w:ascii="仿宋_GB2312" w:eastAsia="仿宋_GB2312"/>
          <w:color w:val="000000"/>
          <w:sz w:val="32"/>
          <w:szCs w:val="32"/>
        </w:rPr>
        <w:t>万元，主要用于按照国家规定标准为在职人员缴纳的住房公积金支出。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衢州市检察院</w:t>
      </w:r>
      <w:r>
        <w:fldChar w:fldCharType="end"/>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${page855778723.ds388518707_V_RPT_BAS_AGENCY_INFO_NAME}</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衢州市检察院</w:t>
      </w:r>
      <w:r>
        <w:fldChar w:fldCharType="end"/>
      </w:r>
      <w:r>
        <w:rPr>
          <w:rFonts w:hint="eastAsia" w:ascii="仿宋_GB2312" w:eastAsia="仿宋_GB2312"/>
          <w:color w:val="000000"/>
          <w:sz w:val="32"/>
          <w:szCs w:val="32"/>
          <w:highlight w:val="none"/>
          <w:lang w:val="en-US" w:eastAsia="zh-CN"/>
        </w:rPr>
        <w:t>2022</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4330.49万元，其中：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3842.66万元，主要包括：基本工资、津贴补贴、奖金、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r>
        <w:rPr>
          <w:rFonts w:hint="eastAsia" w:ascii="仿宋_GB2312" w:eastAsia="仿宋_GB2312" w:cs="Times New Roman"/>
          <w:b/>
          <w:bCs/>
          <w:color w:val="000000"/>
          <w:sz w:val="32"/>
          <w:szCs w:val="32"/>
          <w:highlight w:val="none"/>
          <w:lang w:val="en-US" w:eastAsia="zh-CN"/>
        </w:rPr>
        <w:t>（根据表06实际情况表述</w:t>
      </w:r>
      <w:r>
        <w:rPr>
          <w:rFonts w:hint="eastAsia" w:ascii="仿宋_GB2312" w:hAnsi="仿宋_GB2312" w:eastAsia="仿宋_GB2312" w:cs="仿宋_GB2312"/>
          <w:b/>
          <w:bCs/>
          <w:color w:val="000000"/>
          <w:sz w:val="32"/>
          <w:szCs w:val="32"/>
          <w:highlight w:val="none"/>
          <w:lang w:val="en-US" w:eastAsia="zh-CN"/>
        </w:rPr>
        <w:t>，删除表中金额为空的项目</w:t>
      </w:r>
      <w:r>
        <w:rPr>
          <w:rFonts w:hint="eastAsia" w:ascii="仿宋_GB2312" w:eastAsia="仿宋_GB2312" w:cs="Times New Roman"/>
          <w:b/>
          <w:bCs/>
          <w:color w:val="000000"/>
          <w:sz w:val="32"/>
          <w:szCs w:val="32"/>
          <w:highlight w:val="none"/>
          <w:lang w:val="en-US" w:eastAsia="zh-CN"/>
        </w:rPr>
        <w:t>）</w:t>
      </w:r>
      <w:r>
        <w:rPr>
          <w:rFonts w:hint="eastAsia" w:ascii="仿宋_GB2312" w:eastAsia="仿宋_GB2312" w:cs="Times New Roman"/>
          <w:b w:val="0"/>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487.83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r>
        <w:rPr>
          <w:rFonts w:hint="eastAsia" w:ascii="仿宋_GB2312" w:eastAsia="仿宋_GB2312" w:cs="Times New Roman"/>
          <w:b/>
          <w:bCs/>
          <w:color w:val="000000"/>
          <w:sz w:val="32"/>
          <w:szCs w:val="32"/>
          <w:highlight w:val="none"/>
          <w:lang w:val="en-US" w:eastAsia="zh-CN"/>
        </w:rPr>
        <w:t>（根据表06实际情况表述</w:t>
      </w:r>
      <w:r>
        <w:rPr>
          <w:rFonts w:hint="eastAsia" w:ascii="仿宋_GB2312" w:hAnsi="仿宋_GB2312" w:eastAsia="仿宋_GB2312" w:cs="仿宋_GB2312"/>
          <w:b/>
          <w:bCs/>
          <w:color w:val="000000"/>
          <w:sz w:val="32"/>
          <w:szCs w:val="32"/>
          <w:highlight w:val="none"/>
          <w:lang w:val="en-US" w:eastAsia="zh-CN"/>
        </w:rPr>
        <w:t>，删除表中金额为空的项目</w:t>
      </w:r>
      <w:r>
        <w:rPr>
          <w:rFonts w:hint="eastAsia" w:ascii="仿宋_GB2312" w:eastAsia="仿宋_GB2312" w:cs="Times New Roman"/>
          <w:b/>
          <w:bCs/>
          <w:color w:val="000000"/>
          <w:sz w:val="32"/>
          <w:szCs w:val="32"/>
          <w:highlight w:val="none"/>
          <w:lang w:val="en-US" w:eastAsia="zh-CN"/>
        </w:rPr>
        <w:t>）</w:t>
      </w:r>
      <w:r>
        <w:rPr>
          <w:rFonts w:hint="eastAsia" w:ascii="仿宋_GB2312" w:eastAsia="仿宋_GB2312" w:cs="Times New Roman"/>
          <w:b w:val="0"/>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衢州市检察院</w:t>
      </w:r>
      <w:r>
        <w:fldChar w:fldCharType="end"/>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b/>
          <w:color w:val="000000"/>
          <w:sz w:val="32"/>
          <w:szCs w:val="32"/>
          <w:highlight w:val="none"/>
          <w:lang w:val="en-US" w:eastAsia="zh-CN"/>
        </w:rPr>
        <w:t>1.</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衢州市检察院2022年政府性基金预算当年拨款8万元，比2021年执行数增加8万元，主要是用于支付刑事检察办案工作区项目和电子检务工程的尾款。</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城乡社区支出</w:t>
      </w:r>
      <w:r>
        <w:rPr>
          <w:rFonts w:hint="eastAsia" w:ascii="仿宋_GB2312" w:eastAsia="仿宋_GB2312"/>
          <w:color w:val="000000"/>
          <w:sz w:val="32"/>
          <w:szCs w:val="32"/>
        </w:rPr>
        <w:t>（类</w:t>
      </w:r>
      <w:r>
        <w:rPr>
          <w:rFonts w:hint="eastAsia" w:ascii="仿宋_GB2312" w:eastAsia="仿宋_GB2312"/>
          <w:color w:val="000000"/>
          <w:sz w:val="32"/>
          <w:szCs w:val="32"/>
          <w:lang w:eastAsia="zh-CN"/>
        </w:rPr>
        <w:t>）支出</w:t>
      </w:r>
      <w:r>
        <w:rPr>
          <w:rFonts w:hint="eastAsia" w:ascii="仿宋_GB2312" w:hAnsi="仿宋_GB2312" w:eastAsia="仿宋_GB2312" w:cs="仿宋_GB2312"/>
          <w:color w:val="000000"/>
          <w:sz w:val="32"/>
          <w:szCs w:val="32"/>
          <w:highlight w:val="none"/>
          <w:lang w:val="en-US" w:eastAsia="zh-CN"/>
        </w:rPr>
        <w:t>8万元，占100%。</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b/>
          <w:color w:val="000000"/>
          <w:sz w:val="32"/>
          <w:szCs w:val="32"/>
          <w:highlight w:val="none"/>
          <w:lang w:val="en-US" w:eastAsia="zh-CN"/>
        </w:rPr>
        <w:t xml:space="preserve">  3.</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预算当年拨款具体使用情况。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 xml:space="preserve"> 城乡社区支出</w:t>
      </w:r>
      <w:r>
        <w:rPr>
          <w:rFonts w:hint="eastAsia" w:ascii="仿宋_GB2312" w:eastAsia="仿宋_GB2312"/>
          <w:color w:val="000000"/>
          <w:sz w:val="32"/>
          <w:szCs w:val="32"/>
        </w:rPr>
        <w:t>（类）</w:t>
      </w:r>
      <w:r>
        <w:rPr>
          <w:rFonts w:hint="eastAsia" w:ascii="仿宋_GB2312" w:eastAsia="仿宋_GB2312"/>
          <w:color w:val="000000"/>
          <w:sz w:val="32"/>
          <w:szCs w:val="32"/>
          <w:lang w:eastAsia="zh-CN"/>
        </w:rPr>
        <w:t>国有土地使用权出让收入安排的支出</w:t>
      </w:r>
      <w:r>
        <w:rPr>
          <w:rFonts w:hint="eastAsia" w:ascii="仿宋_GB2312" w:eastAsia="仿宋_GB2312"/>
          <w:color w:val="000000"/>
          <w:sz w:val="32"/>
          <w:szCs w:val="32"/>
        </w:rPr>
        <w:t>（款）</w:t>
      </w:r>
      <w:r>
        <w:rPr>
          <w:rFonts w:hint="eastAsia" w:ascii="仿宋_GB2312" w:eastAsia="仿宋_GB2312"/>
          <w:color w:val="000000"/>
          <w:sz w:val="32"/>
          <w:szCs w:val="32"/>
          <w:lang w:eastAsia="zh-CN"/>
        </w:rPr>
        <w:t>其它国有土地使用权出让收入安排的支出</w:t>
      </w:r>
      <w:r>
        <w:rPr>
          <w:rFonts w:hint="eastAsia" w:ascii="仿宋_GB2312" w:eastAsia="仿宋_GB2312"/>
          <w:color w:val="000000"/>
          <w:sz w:val="32"/>
          <w:szCs w:val="32"/>
        </w:rPr>
        <w:t>（项）</w:t>
      </w:r>
      <w:r>
        <w:rPr>
          <w:rFonts w:hint="eastAsia" w:ascii="仿宋_GB2312" w:hAnsi="仿宋_GB2312" w:eastAsia="仿宋_GB2312" w:cs="仿宋_GB2312"/>
          <w:color w:val="000000"/>
          <w:sz w:val="32"/>
          <w:szCs w:val="32"/>
          <w:highlight w:val="none"/>
          <w:lang w:val="en-US" w:eastAsia="zh-CN"/>
        </w:rPr>
        <w:t>支出8万元</w:t>
      </w:r>
      <w:r>
        <w:rPr>
          <w:rFonts w:hint="eastAsia" w:ascii="仿宋_GB2312" w:hAnsi="仿宋_GB2312" w:eastAsia="仿宋_GB2312" w:cs="仿宋_GB2312"/>
          <w:color w:val="000000"/>
          <w:sz w:val="32"/>
          <w:szCs w:val="32"/>
          <w:highlight w:val="none"/>
        </w:rPr>
        <w:t>，主要用</w:t>
      </w:r>
      <w:r>
        <w:rPr>
          <w:rFonts w:hint="eastAsia" w:ascii="仿宋_GB2312" w:hAnsi="仿宋_GB2312" w:eastAsia="仿宋_GB2312" w:cs="仿宋_GB2312"/>
          <w:color w:val="000000"/>
          <w:sz w:val="32"/>
          <w:szCs w:val="32"/>
          <w:highlight w:val="none"/>
          <w:lang w:eastAsia="zh-CN"/>
        </w:rPr>
        <w:t>于</w:t>
      </w:r>
      <w:r>
        <w:rPr>
          <w:rFonts w:hint="eastAsia" w:ascii="仿宋_GB2312" w:hAnsi="仿宋_GB2312" w:eastAsia="仿宋_GB2312" w:cs="仿宋_GB2312"/>
          <w:color w:val="000000"/>
          <w:sz w:val="32"/>
          <w:szCs w:val="32"/>
          <w:highlight w:val="none"/>
          <w:lang w:val="en-US" w:eastAsia="zh-CN"/>
        </w:rPr>
        <w:t>支付刑事检察办案工作区项目和电子检务工程的尾款。</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477" w:leftChars="227" w:right="0" w:rightChars="0" w:firstLine="0" w:firstLineChars="0"/>
        <w:textAlignment w:val="auto"/>
        <w:outlineLvl w:val="9"/>
        <w:rPr>
          <w:rFonts w:hint="default"/>
          <w:b/>
          <w:sz w:val="20"/>
          <w:highlight w:val="none"/>
          <w:lang w:val="en-US"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${page855778723.ds388518707_V_RPT_BAS_AGENCY_INFO_NAME}</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衢州市检察院</w:t>
      </w:r>
      <w:r>
        <w:rPr>
          <w:highlight w:val="none"/>
        </w:rPr>
        <w:fldChar w:fldCharType="end"/>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衢州市检察院</w:t>
      </w:r>
      <w:r>
        <w:fldChar w:fldCharType="end"/>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hAnsi="仿宋_GB2312" w:eastAsia="仿宋_GB2312"/>
          <w:sz w:val="32"/>
          <w:lang w:val="en-US" w:eastAsia="zh-CN"/>
        </w:rPr>
        <w:fldChar w:fldCharType="begin"/>
      </w:r>
      <w:r>
        <w:rPr>
          <w:rFonts w:hint="eastAsia" w:ascii="仿宋_GB2312" w:hAnsi="仿宋_GB2312" w:eastAsia="仿宋_GB2312"/>
          <w:sz w:val="32"/>
          <w:lang w:val="en-US" w:eastAsia="zh-CN"/>
        </w:rPr>
        <w:instrText xml:space="preserve">MERGEFIELD ${page855778723.ds388518707_V_RPT_BAS_AGENCY_INFO_NAME}</w:instrText>
      </w:r>
      <w:r>
        <w:rPr>
          <w:rFonts w:hint="eastAsia" w:ascii="仿宋_GB2312" w:hAnsi="仿宋_GB2312" w:eastAsia="仿宋_GB2312"/>
          <w:sz w:val="32"/>
          <w:lang w:val="en-US" w:eastAsia="zh-CN"/>
        </w:rPr>
        <w:fldChar w:fldCharType="separate"/>
      </w:r>
      <w:r>
        <w:rPr>
          <w:rFonts w:hint="eastAsia" w:ascii="仿宋_GB2312" w:hAnsi="仿宋_GB2312" w:eastAsia="仿宋_GB2312"/>
          <w:sz w:val="32"/>
          <w:lang w:val="en-US" w:eastAsia="zh-CN"/>
        </w:rPr>
        <w:t>衢州市检察院</w:t>
      </w:r>
      <w:r>
        <w:fldChar w:fldCharType="end"/>
      </w:r>
      <w:r>
        <w:rPr>
          <w:rFonts w:hint="eastAsia" w:ascii="仿宋_GB2312" w:hAnsi="仿宋_GB2312" w:eastAsia="仿宋_GB2312"/>
          <w:sz w:val="32"/>
          <w:lang w:val="en-US" w:eastAsia="zh-CN"/>
        </w:rPr>
        <w:t>2022</w:t>
      </w:r>
      <w:r>
        <w:rPr>
          <w:rFonts w:hint="eastAsia" w:ascii="仿宋_GB2312" w:hAnsi="仿宋_GB2312" w:eastAsia="仿宋_GB2312"/>
          <w:sz w:val="32"/>
        </w:rPr>
        <w:t>年“三公”经费预算数为</w:t>
      </w:r>
      <w:r>
        <w:rPr>
          <w:rFonts w:hint="eastAsia" w:ascii="仿宋_GB2312" w:hAnsi="仿宋_GB2312" w:eastAsia="仿宋_GB2312"/>
          <w:sz w:val="32"/>
          <w:lang w:val="en-US" w:eastAsia="zh-CN"/>
        </w:rPr>
        <w:t>109.23</w:t>
      </w:r>
      <w:r>
        <w:rPr>
          <w:rFonts w:hint="eastAsia" w:ascii="仿宋_GB2312" w:hAnsi="仿宋_GB2312" w:eastAsia="仿宋_GB2312"/>
          <w:sz w:val="32"/>
        </w:rPr>
        <w:t>万元</w:t>
      </w:r>
      <w:r>
        <w:rPr>
          <w:rFonts w:hint="eastAsia" w:ascii="仿宋_GB2312" w:hAnsi="仿宋_GB2312" w:eastAsia="仿宋_GB2312"/>
          <w:sz w:val="32"/>
          <w:lang w:eastAsia="zh-CN"/>
        </w:rPr>
        <w:t>，</w:t>
      </w:r>
      <w:r>
        <w:rPr>
          <w:rFonts w:hint="eastAsia" w:ascii="仿宋_GB2312" w:hAnsi="仿宋_GB2312" w:eastAsia="仿宋_GB2312" w:cs="Times New Roman"/>
          <w:kern w:val="2"/>
          <w:sz w:val="32"/>
          <w:szCs w:val="20"/>
          <w:shd w:val="clear" w:color="auto" w:fill="FFFFFF"/>
          <w:lang w:val="en-US" w:eastAsia="zh-CN" w:bidi="ar"/>
        </w:rPr>
        <w:t>比上年预算数增加40.2万元，</w:t>
      </w:r>
      <w:r>
        <w:rPr>
          <w:rFonts w:hint="eastAsia" w:ascii="仿宋_GB2312" w:hAnsi="仿宋_GB2312" w:eastAsia="仿宋_GB2312"/>
          <w:sz w:val="32"/>
          <w:lang w:eastAsia="zh-CN"/>
        </w:rPr>
        <w:t>具体如下：</w:t>
      </w:r>
    </w:p>
    <w:p>
      <w:pPr>
        <w:spacing w:line="560" w:lineRule="exact"/>
        <w:ind w:firstLine="643" w:firstLineChars="200"/>
        <w:rPr>
          <w:rFonts w:ascii="仿宋_GB2312" w:hAnsi="仿宋_GB2312" w:eastAsia="仿宋_GB2312"/>
          <w:sz w:val="32"/>
        </w:rPr>
      </w:pPr>
      <w:r>
        <w:rPr>
          <w:rFonts w:hint="eastAsia" w:ascii="仿宋_GB2312" w:hAnsi="仿宋_GB2312" w:eastAsia="仿宋_GB2312" w:cs="仿宋_GB2312"/>
          <w:b/>
          <w:bCs/>
          <w:kern w:val="0"/>
          <w:sz w:val="32"/>
          <w:szCs w:val="32"/>
        </w:rPr>
        <w:t>1.因公出国（境）费用：</w:t>
      </w:r>
      <w:r>
        <w:rPr>
          <w:rFonts w:hint="eastAsia" w:ascii="仿宋_GB2312" w:hAnsi="仿宋_GB2312" w:eastAsia="仿宋_GB2312" w:cs="仿宋_GB2312"/>
          <w:sz w:val="32"/>
          <w:szCs w:val="32"/>
        </w:rPr>
        <w:t>根据市委外办安排的因公出国计划和实际工作需要，202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年安排因公出国（境）费用预算</w:t>
      </w:r>
      <w:r>
        <w:rPr>
          <w:rFonts w:hint="eastAsia" w:ascii="仿宋_GB2312" w:eastAsia="仿宋_GB2312"/>
          <w:color w:val="000000"/>
          <w:sz w:val="32"/>
          <w:szCs w:val="32"/>
        </w:rPr>
        <w:t>13.5</w:t>
      </w:r>
      <w:r>
        <w:rPr>
          <w:rFonts w:hint="eastAsia" w:ascii="仿宋_GB2312" w:hAnsi="仿宋_GB2312" w:eastAsia="仿宋_GB2312" w:cs="仿宋_GB2312"/>
          <w:sz w:val="32"/>
          <w:szCs w:val="32"/>
        </w:rPr>
        <w:t>万元，比上年执行数增长100%。主要用于机关及下属预算单位人员的公务出国（境）的国际旅费、国外城市间交通费、住宿费、伙食费、培训费、公杂费等支出。增加的主要原因是综合考虑上年度预算数与实际执行数。</w:t>
      </w:r>
    </w:p>
    <w:p>
      <w:pPr>
        <w:snapToGrid w:val="0"/>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2.公务接待费：</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年安排公务接待费预算</w:t>
      </w:r>
      <w:r>
        <w:rPr>
          <w:rFonts w:hint="eastAsia" w:ascii="仿宋_GB2312" w:hAnsi="仿宋_GB2312" w:eastAsia="仿宋_GB2312" w:cs="仿宋_GB2312"/>
          <w:sz w:val="32"/>
          <w:szCs w:val="32"/>
          <w:lang w:val="en-US" w:eastAsia="zh-CN"/>
        </w:rPr>
        <w:t>6</w:t>
      </w:r>
      <w:r>
        <w:rPr>
          <w:rFonts w:hint="eastAsia" w:ascii="仿宋_GB2312" w:eastAsia="仿宋_GB2312"/>
          <w:color w:val="000000"/>
          <w:sz w:val="32"/>
          <w:szCs w:val="32"/>
        </w:rPr>
        <w:t>.43</w:t>
      </w:r>
      <w:r>
        <w:rPr>
          <w:rFonts w:hint="eastAsia" w:ascii="仿宋_GB2312" w:hAnsi="仿宋_GB2312" w:eastAsia="仿宋_GB2312" w:cs="仿宋_GB2312"/>
          <w:sz w:val="32"/>
          <w:szCs w:val="32"/>
        </w:rPr>
        <w:t>万元，与上年执行数持平。主要用于接待</w:t>
      </w:r>
      <w:r>
        <w:rPr>
          <w:rFonts w:hint="eastAsia" w:ascii="仿宋_GB2312" w:eastAsia="仿宋_GB2312"/>
          <w:sz w:val="32"/>
          <w:szCs w:val="32"/>
        </w:rPr>
        <w:t>上级及兄弟省市来衢考察、调研等支出</w:t>
      </w:r>
      <w:r>
        <w:rPr>
          <w:rFonts w:hint="eastAsia" w:ascii="仿宋_GB2312" w:hAnsi="仿宋_GB2312" w:eastAsia="仿宋_GB2312" w:cs="仿宋_GB2312"/>
          <w:sz w:val="32"/>
          <w:szCs w:val="32"/>
        </w:rPr>
        <w:t>。持平的主要原因是厉行节俭。</w:t>
      </w:r>
    </w:p>
    <w:p>
      <w:pPr>
        <w:pStyle w:val="15"/>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3.公务用车购置及运行维护费：</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年安排公务用车购置及运行维护费预算</w:t>
      </w:r>
      <w:r>
        <w:rPr>
          <w:rFonts w:hint="eastAsia" w:ascii="仿宋_GB2312" w:eastAsia="仿宋_GB2312"/>
          <w:sz w:val="32"/>
          <w:szCs w:val="32"/>
          <w:lang w:val="en-US" w:eastAsia="zh-CN"/>
        </w:rPr>
        <w:t>89.3</w:t>
      </w:r>
      <w:r>
        <w:rPr>
          <w:rFonts w:hint="eastAsia" w:ascii="仿宋_GB2312" w:eastAsia="仿宋_GB2312"/>
          <w:sz w:val="32"/>
          <w:szCs w:val="32"/>
        </w:rPr>
        <w:t>万元。其中，公务用车购置支出</w:t>
      </w:r>
      <w:r>
        <w:rPr>
          <w:rFonts w:hint="eastAsia" w:ascii="仿宋_GB2312" w:eastAsia="仿宋_GB2312"/>
          <w:sz w:val="32"/>
          <w:szCs w:val="32"/>
          <w:lang w:val="en-US" w:eastAsia="zh-CN"/>
        </w:rPr>
        <w:t>47.3</w:t>
      </w:r>
      <w:r>
        <w:rPr>
          <w:rFonts w:hint="eastAsia" w:ascii="仿宋_GB2312" w:eastAsia="仿宋_GB2312"/>
          <w:sz w:val="32"/>
          <w:szCs w:val="32"/>
        </w:rPr>
        <w:t>万元（含购置税等附加费用），主要用于</w:t>
      </w:r>
      <w:r>
        <w:rPr>
          <w:rFonts w:hint="eastAsia" w:ascii="仿宋_GB2312" w:eastAsia="仿宋_GB2312"/>
          <w:sz w:val="32"/>
          <w:szCs w:val="32"/>
          <w:lang w:eastAsia="zh-CN"/>
        </w:rPr>
        <w:t>更新两</w:t>
      </w:r>
      <w:r>
        <w:rPr>
          <w:rFonts w:hint="eastAsia" w:ascii="仿宋_GB2312" w:eastAsia="仿宋_GB2312"/>
          <w:sz w:val="32"/>
          <w:szCs w:val="32"/>
        </w:rPr>
        <w:t>辆公务用车；公务用车运行维护费支出</w:t>
      </w:r>
      <w:r>
        <w:rPr>
          <w:rFonts w:hint="eastAsia" w:ascii="仿宋_GB2312" w:eastAsia="仿宋_GB2312"/>
          <w:color w:val="000000"/>
          <w:sz w:val="32"/>
          <w:szCs w:val="32"/>
        </w:rPr>
        <w:t>4</w:t>
      </w:r>
      <w:r>
        <w:rPr>
          <w:rFonts w:hint="eastAsia" w:ascii="仿宋_GB2312" w:eastAsia="仿宋_GB2312"/>
          <w:color w:val="000000"/>
          <w:sz w:val="32"/>
          <w:szCs w:val="32"/>
          <w:lang w:val="en-US" w:eastAsia="zh-CN"/>
        </w:rPr>
        <w:t>2</w:t>
      </w:r>
      <w:r>
        <w:rPr>
          <w:rFonts w:hint="eastAsia" w:ascii="仿宋_GB2312" w:eastAsia="仿宋_GB2312"/>
          <w:sz w:val="32"/>
          <w:szCs w:val="32"/>
        </w:rPr>
        <w:t>万元，主要用于检察监督等业务活动所需的公务用车燃料费、维修费、过桥过路费、保险费、安全奖励费用等支出。增加的主要原因是</w:t>
      </w:r>
      <w:r>
        <w:rPr>
          <w:rFonts w:hint="eastAsia" w:ascii="仿宋_GB2312" w:eastAsia="仿宋_GB2312"/>
          <w:sz w:val="32"/>
          <w:szCs w:val="32"/>
          <w:lang w:eastAsia="zh-CN"/>
        </w:rPr>
        <w:t>更新两</w:t>
      </w:r>
      <w:r>
        <w:rPr>
          <w:rFonts w:hint="eastAsia" w:ascii="仿宋_GB2312" w:eastAsia="仿宋_GB2312"/>
          <w:sz w:val="32"/>
          <w:szCs w:val="32"/>
        </w:rPr>
        <w:t>辆公务用车，还有</w:t>
      </w:r>
      <w:r>
        <w:rPr>
          <w:rFonts w:hint="eastAsia" w:ascii="仿宋_GB2312" w:hAnsi="仿宋_GB2312" w:eastAsia="仿宋_GB2312" w:cs="仿宋_GB2312"/>
          <w:sz w:val="32"/>
          <w:szCs w:val="32"/>
        </w:rPr>
        <w:t>综合考虑上年度预算数与实际执行数，结合司法体制改革后相关办案工作任务增多</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2022年</w:t>
      </w:r>
      <w:r>
        <w:rPr>
          <w:rFonts w:hint="eastAsia" w:ascii="仿宋_GB2312" w:eastAsia="仿宋_GB2312"/>
          <w:sz w:val="32"/>
          <w:szCs w:val="32"/>
          <w:highlight w:val="none"/>
          <w:u w:val="none"/>
          <w:lang w:val="en-US" w:eastAsia="zh-CN"/>
        </w:rPr>
        <w:fldChar w:fldCharType="begin"/>
      </w:r>
      <w:r>
        <w:rPr>
          <w:rFonts w:hint="eastAsia" w:ascii="仿宋_GB2312" w:eastAsia="仿宋_GB2312"/>
          <w:sz w:val="32"/>
          <w:szCs w:val="32"/>
          <w:highlight w:val="none"/>
          <w:u w:val="none"/>
          <w:lang w:val="en-US" w:eastAsia="zh-CN"/>
        </w:rPr>
        <w:instrText xml:space="preserve">MERGEFIELD ${page855778723.ds388518707_V_RPT_BAS_AGENCY_INFO_NAME}</w:instrText>
      </w:r>
      <w:r>
        <w:rPr>
          <w:rFonts w:hint="eastAsia" w:ascii="仿宋_GB2312" w:eastAsia="仿宋_GB2312"/>
          <w:sz w:val="32"/>
          <w:szCs w:val="32"/>
          <w:highlight w:val="none"/>
          <w:u w:val="none"/>
          <w:lang w:val="en-US" w:eastAsia="zh-CN"/>
        </w:rPr>
        <w:fldChar w:fldCharType="separate"/>
      </w:r>
      <w:r>
        <w:rPr>
          <w:rFonts w:hint="eastAsia" w:ascii="仿宋_GB2312" w:eastAsia="仿宋_GB2312"/>
          <w:sz w:val="32"/>
          <w:szCs w:val="32"/>
          <w:highlight w:val="none"/>
          <w:u w:val="none"/>
          <w:lang w:val="en-US" w:eastAsia="zh-CN"/>
        </w:rPr>
        <w:t>衢州市检察院</w:t>
      </w:r>
      <w:r>
        <w:fldChar w:fldCharType="end"/>
      </w:r>
      <w:r>
        <w:rPr>
          <w:rFonts w:hint="eastAsia" w:ascii="仿宋_GB2312" w:eastAsia="仿宋_GB2312"/>
          <w:color w:val="000000"/>
          <w:sz w:val="32"/>
          <w:szCs w:val="32"/>
          <w:highlight w:val="none"/>
          <w:lang w:eastAsia="zh-CN"/>
        </w:rPr>
        <w:t>本级的机关运行经费财政拨款预算</w:t>
      </w:r>
      <w:r>
        <w:rPr>
          <w:rFonts w:hint="eastAsia" w:ascii="仿宋_GB2312" w:eastAsia="仿宋_GB2312"/>
          <w:color w:val="000000"/>
          <w:sz w:val="32"/>
          <w:szCs w:val="32"/>
          <w:highlight w:val="none"/>
          <w:lang w:val="en-US" w:eastAsia="zh-CN"/>
        </w:rPr>
        <w:t>487.83元，比上年预算减少38.7</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shd w:val="clear" w:color="auto" w:fill="auto"/>
          <w:lang w:val="en-US" w:eastAsia="zh-CN" w:bidi="ar"/>
        </w:rPr>
        <w:t>，下降7.35%，主要</w:t>
      </w:r>
      <w:r>
        <w:rPr>
          <w:rFonts w:hint="eastAsia" w:ascii="仿宋_GB2312" w:hAnsi="仿宋_GB2312" w:eastAsia="仿宋_GB2312" w:cs="Times New Roman"/>
          <w:kern w:val="2"/>
          <w:sz w:val="32"/>
          <w:szCs w:val="20"/>
          <w:highlight w:val="none"/>
          <w:shd w:val="clear" w:color="auto" w:fill="auto"/>
          <w:lang w:val="en-US" w:eastAsia="zh-CN" w:bidi="ar"/>
        </w:rPr>
        <w:t>是</w:t>
      </w:r>
      <w:r>
        <w:rPr>
          <w:rFonts w:hint="eastAsia" w:ascii="仿宋_GB2312" w:hAnsi="仿宋_GB2312" w:eastAsia="仿宋_GB2312" w:cs="仿宋_GB2312"/>
          <w:color w:val="000000"/>
          <w:sz w:val="32"/>
          <w:szCs w:val="32"/>
          <w:highlight w:val="none"/>
          <w:lang w:val="en-US" w:eastAsia="zh-CN"/>
        </w:rPr>
        <w:t>人员减少和厉行节俭。</w:t>
      </w:r>
    </w:p>
    <w:p>
      <w:pPr>
        <w:pStyle w:val="15"/>
        <w:keepNext w:val="0"/>
        <w:keepLines w:val="0"/>
        <w:pageBreakBefore w:val="0"/>
        <w:numPr>
          <w:ilvl w:val="0"/>
          <w:numId w:val="4"/>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5"/>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eastAsia="仿宋_GB2312"/>
          <w:b w:val="0"/>
          <w:bCs w:val="0"/>
          <w:sz w:val="32"/>
          <w:szCs w:val="32"/>
          <w:highlight w:val="none"/>
          <w:u w:val="none"/>
          <w:lang w:val="en-US" w:eastAsia="zh-CN"/>
        </w:rPr>
        <w:fldChar w:fldCharType="begin"/>
      </w:r>
      <w:r>
        <w:rPr>
          <w:rFonts w:hint="eastAsia" w:ascii="仿宋_GB2312" w:eastAsia="仿宋_GB2312"/>
          <w:b w:val="0"/>
          <w:bCs w:val="0"/>
          <w:sz w:val="32"/>
          <w:szCs w:val="32"/>
          <w:highlight w:val="none"/>
          <w:u w:val="none"/>
          <w:lang w:val="en-US" w:eastAsia="zh-CN"/>
        </w:rPr>
        <w:instrText xml:space="preserve">MERGEFIELD ${page855778723.ds388518707_V_RPT_BAS_AGENCY_INFO_NAME}</w:instrText>
      </w:r>
      <w:r>
        <w:rPr>
          <w:rFonts w:hint="eastAsia" w:ascii="仿宋_GB2312" w:eastAsia="仿宋_GB2312"/>
          <w:b w:val="0"/>
          <w:bCs w:val="0"/>
          <w:sz w:val="32"/>
          <w:szCs w:val="32"/>
          <w:highlight w:val="none"/>
          <w:u w:val="none"/>
          <w:lang w:val="en-US" w:eastAsia="zh-CN"/>
        </w:rPr>
        <w:fldChar w:fldCharType="separate"/>
      </w:r>
      <w:r>
        <w:rPr>
          <w:rFonts w:hint="eastAsia" w:ascii="仿宋_GB2312" w:eastAsia="仿宋_GB2312"/>
          <w:b w:val="0"/>
          <w:bCs w:val="0"/>
          <w:sz w:val="32"/>
          <w:szCs w:val="32"/>
          <w:highlight w:val="none"/>
          <w:u w:val="none"/>
          <w:lang w:val="en-US" w:eastAsia="zh-CN"/>
        </w:rPr>
        <w:t>衢州市检察院</w:t>
      </w:r>
      <w:r>
        <w:fldChar w:fldCharType="end"/>
      </w:r>
      <w:r>
        <w:rPr>
          <w:rFonts w:hint="eastAsia" w:ascii="仿宋_GB2312" w:eastAsia="仿宋_GB2312"/>
          <w:color w:val="000000"/>
          <w:sz w:val="32"/>
          <w:szCs w:val="32"/>
          <w:highlight w:val="none"/>
          <w:lang w:eastAsia="zh-CN"/>
        </w:rPr>
        <w:t>各单位政府采购预算总额</w:t>
      </w:r>
      <w:r>
        <w:rPr>
          <w:rFonts w:hint="eastAsia" w:ascii="仿宋_GB2312" w:eastAsia="仿宋_GB2312"/>
          <w:color w:val="000000"/>
          <w:sz w:val="32"/>
          <w:szCs w:val="32"/>
          <w:highlight w:val="none"/>
          <w:lang w:val="en-US" w:eastAsia="zh-CN"/>
        </w:rPr>
        <w:t>180万元，其中：政府采购货物预算20万元、政府采购工程预算</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${page991489089.ds360843206_ExpandCol3415079511}</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0.00</w:t>
      </w:r>
      <w:r>
        <w:fldChar w:fldCharType="end"/>
      </w:r>
      <w:r>
        <w:rPr>
          <w:rFonts w:hint="eastAsia" w:ascii="仿宋_GB2312" w:eastAsia="仿宋_GB2312"/>
          <w:color w:val="000000"/>
          <w:sz w:val="32"/>
          <w:szCs w:val="32"/>
          <w:highlight w:val="none"/>
          <w:lang w:val="en-US" w:eastAsia="zh-CN"/>
        </w:rPr>
        <w:t>万元、政府采购服务预算180万元。</w:t>
      </w:r>
    </w:p>
    <w:p>
      <w:pPr>
        <w:pStyle w:val="15"/>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hAnsi="仿宋_GB2312" w:eastAsia="仿宋_GB2312" w:cs="仿宋_GB2312"/>
          <w:color w:val="auto"/>
          <w:spacing w:val="6"/>
          <w:sz w:val="32"/>
          <w:szCs w:val="32"/>
          <w:highlight w:val="none"/>
          <w:u w:val="none"/>
          <w:lang w:val="en-US" w:eastAsia="zh-CN"/>
        </w:rPr>
        <w:fldChar w:fldCharType="begin"/>
      </w:r>
      <w:r>
        <w:rPr>
          <w:rFonts w:hint="eastAsia" w:ascii="仿宋_GB2312" w:hAnsi="仿宋_GB2312" w:eastAsia="仿宋_GB2312" w:cs="仿宋_GB2312"/>
          <w:color w:val="auto"/>
          <w:spacing w:val="6"/>
          <w:sz w:val="32"/>
          <w:szCs w:val="32"/>
          <w:highlight w:val="none"/>
          <w:u w:val="none"/>
          <w:lang w:val="en-US" w:eastAsia="zh-CN"/>
        </w:rPr>
        <w:instrText xml:space="preserve">MERGEFIELD ${page855778723.ds388518707_V_RPT_BAS_AGENCY_INFO_LEINAME}</w:instrText>
      </w:r>
      <w:r>
        <w:rPr>
          <w:rFonts w:hint="eastAsia" w:ascii="仿宋_GB2312" w:hAnsi="仿宋_GB2312" w:eastAsia="仿宋_GB2312" w:cs="仿宋_GB2312"/>
          <w:color w:val="auto"/>
          <w:spacing w:val="6"/>
          <w:sz w:val="32"/>
          <w:szCs w:val="32"/>
          <w:highlight w:val="none"/>
          <w:u w:val="none"/>
          <w:lang w:val="en-US" w:eastAsia="zh-CN"/>
        </w:rPr>
        <w:fldChar w:fldCharType="separate"/>
      </w:r>
      <w:r>
        <w:fldChar w:fldCharType="end"/>
      </w:r>
      <w:r>
        <w:rPr>
          <w:rFonts w:hint="eastAsia" w:ascii="仿宋_GB2312" w:hAnsi="仿宋_GB2312" w:eastAsia="仿宋_GB2312" w:cs="仿宋_GB2312"/>
          <w:color w:val="auto"/>
          <w:spacing w:val="6"/>
          <w:sz w:val="32"/>
          <w:szCs w:val="32"/>
          <w:highlight w:val="none"/>
          <w:lang w:eastAsia="zh-CN"/>
        </w:rPr>
        <w:t>所属各预算单位共有车辆</w:t>
      </w:r>
      <w:r>
        <w:rPr>
          <w:rFonts w:hint="eastAsia" w:ascii="仿宋_GB2312" w:hAnsi="仿宋_GB2312" w:eastAsia="仿宋_GB2312" w:cs="仿宋_GB2312"/>
          <w:color w:val="auto"/>
          <w:sz w:val="32"/>
          <w:szCs w:val="32"/>
          <w:highlight w:val="none"/>
          <w:lang w:val="en-US" w:eastAsia="zh-CN"/>
        </w:rPr>
        <w:t xml:space="preserve">13辆，其中，领导用车0辆、机要通信用车及应急保障用车0辆、执法执勤用车13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2022年部门预算安排购置车辆2辆，其中，领导用车0辆、机要通信用车及应急保障用车0辆、执法执勤用车2辆、特种专业技术用车0辆、老干部服务用车0辆、行政执法专用车0辆。2022年部门预算安排购置单位价值50万元以上通用设备0台（套），单位价值100万元以上专用设备0台（套）。</w:t>
      </w:r>
    </w:p>
    <w:p>
      <w:pPr>
        <w:pStyle w:val="15"/>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w:t>
      </w: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MERGEFIELD ${page855778723.ds388518707_V_RPT_BAS_AGENCY_INFO_NAME}</w:instrText>
      </w:r>
      <w:r>
        <w:rPr>
          <w:rFonts w:hint="eastAsia" w:ascii="仿宋_GB2312" w:hAnsi="仿宋_GB2312" w:eastAsia="仿宋_GB2312" w:cs="仿宋_GB2312"/>
          <w:color w:val="auto"/>
          <w:sz w:val="32"/>
          <w:szCs w:val="32"/>
          <w:highlight w:val="none"/>
          <w:lang w:val="en-US" w:eastAsia="zh-CN"/>
        </w:rPr>
        <w:fldChar w:fldCharType="separate"/>
      </w:r>
      <w:r>
        <w:rPr>
          <w:rFonts w:hint="eastAsia" w:ascii="仿宋_GB2312" w:hAnsi="仿宋_GB2312" w:eastAsia="仿宋_GB2312" w:cs="仿宋_GB2312"/>
          <w:color w:val="auto"/>
          <w:sz w:val="32"/>
          <w:szCs w:val="32"/>
          <w:highlight w:val="none"/>
          <w:lang w:val="en-US" w:eastAsia="zh-CN"/>
        </w:rPr>
        <w:t>衢州市检察院</w:t>
      </w:r>
      <w:r>
        <w:fldChar w:fldCharType="end"/>
      </w:r>
      <w:r>
        <w:rPr>
          <w:rFonts w:hint="eastAsia" w:ascii="仿宋_GB2312" w:hAnsi="仿宋_GB2312" w:eastAsia="仿宋_GB2312" w:cs="仿宋_GB2312"/>
          <w:color w:val="auto"/>
          <w:sz w:val="32"/>
          <w:szCs w:val="32"/>
          <w:highlight w:val="none"/>
          <w:lang w:val="en-US" w:eastAsia="zh-CN"/>
        </w:rPr>
        <w:t>其他运转类项目和特定目标类项目均实行绩效目标管理，涉及一般公共预算拨款694.15万元，一级项目5个</w:t>
      </w:r>
      <w:r>
        <w:rPr>
          <w:rFonts w:hint="eastAsia" w:ascii="仿宋_GB2312" w:hAnsi="仿宋_GB2312" w:eastAsia="仿宋_GB2312" w:cs="仿宋_GB2312"/>
          <w:b/>
          <w:bCs/>
          <w:color w:val="auto"/>
          <w:sz w:val="32"/>
          <w:szCs w:val="32"/>
          <w:highlight w:val="none"/>
          <w:lang w:val="en-US" w:eastAsia="zh-CN"/>
        </w:rPr>
        <w:t>（根据表10实际情况表述）</w:t>
      </w:r>
      <w:r>
        <w:rPr>
          <w:rFonts w:hint="eastAsia" w:ascii="仿宋_GB2312" w:hAnsi="仿宋_GB2312" w:eastAsia="仿宋_GB2312" w:cs="仿宋_GB2312"/>
          <w:color w:val="auto"/>
          <w:sz w:val="32"/>
          <w:szCs w:val="32"/>
          <w:highlight w:val="none"/>
          <w:lang w:val="en-US" w:eastAsia="zh-CN"/>
        </w:rPr>
        <w:t>。</w:t>
      </w:r>
    </w:p>
    <w:p>
      <w:pPr>
        <w:pStyle w:val="15"/>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snapToGrid w:val="0"/>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1.财政拨款收入：</w:t>
      </w:r>
      <w:r>
        <w:rPr>
          <w:rFonts w:hint="eastAsia" w:ascii="仿宋_GB2312" w:hAnsi="仿宋_GB2312" w:eastAsia="仿宋_GB2312" w:cs="仿宋_GB2312"/>
          <w:sz w:val="32"/>
          <w:szCs w:val="32"/>
        </w:rPr>
        <w:t>本级财政部门当年拨付的财政预算资金，包括一般公共预算财政拨款和政府性基金预算财政拨款。</w:t>
      </w:r>
    </w:p>
    <w:p>
      <w:pPr>
        <w:snapToGrid w:val="0"/>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2.专户资金:</w:t>
      </w:r>
      <w:r>
        <w:rPr>
          <w:rFonts w:hint="eastAsia" w:ascii="仿宋_GB2312" w:hAnsi="仿宋_GB2312" w:eastAsia="仿宋_GB2312" w:cs="仿宋_GB2312"/>
          <w:sz w:val="32"/>
          <w:szCs w:val="32"/>
        </w:rPr>
        <w:t>教育收费作为本部门的事业收入，纳入财政专户管理的资金。</w:t>
      </w:r>
    </w:p>
    <w:p>
      <w:pPr>
        <w:snapToGrid w:val="0"/>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3.事业收入：</w:t>
      </w:r>
      <w:r>
        <w:rPr>
          <w:rFonts w:hint="eastAsia" w:ascii="仿宋_GB2312" w:hAnsi="仿宋_GB2312" w:eastAsia="仿宋_GB2312" w:cs="仿宋_GB2312"/>
          <w:sz w:val="32"/>
          <w:szCs w:val="32"/>
        </w:rPr>
        <w:t>事业单位开展专业业务活动及辅助活动所取得的收入，不含专户资金收入。</w:t>
      </w:r>
    </w:p>
    <w:p>
      <w:pPr>
        <w:snapToGrid w:val="0"/>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4.事业单位经营收入：</w:t>
      </w:r>
      <w:r>
        <w:rPr>
          <w:rFonts w:hint="eastAsia" w:ascii="仿宋_GB2312" w:hAnsi="仿宋_GB2312" w:eastAsia="仿宋_GB2312" w:cs="仿宋_GB2312"/>
          <w:sz w:val="32"/>
          <w:szCs w:val="32"/>
        </w:rPr>
        <w:t>事业单位在专业业务活动及辅助活动之外开展非独立核算经营活动取得的收入。</w:t>
      </w:r>
    </w:p>
    <w:p>
      <w:pPr>
        <w:snapToGrid w:val="0"/>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5.其他收入：</w:t>
      </w:r>
      <w:r>
        <w:rPr>
          <w:rFonts w:hint="eastAsia" w:ascii="仿宋_GB2312" w:hAnsi="仿宋_GB2312" w:eastAsia="仿宋_GB2312" w:cs="仿宋_GB2312"/>
          <w:sz w:val="32"/>
          <w:szCs w:val="32"/>
        </w:rPr>
        <w:t>预算单位在“一般公共预算”“政府性基金”“专户资金”“事业收入”“事业单位经营收入”等之外取得的各项收入（含上级补助收入和附属单位缴款等收入）。</w:t>
      </w:r>
    </w:p>
    <w:p>
      <w:pPr>
        <w:snapToGrid w:val="0"/>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6.上年结转：</w:t>
      </w:r>
      <w:r>
        <w:rPr>
          <w:rFonts w:hint="eastAsia" w:ascii="仿宋_GB2312" w:hAnsi="仿宋_GB2312" w:eastAsia="仿宋_GB2312" w:cs="仿宋_GB2312"/>
          <w:sz w:val="32"/>
          <w:szCs w:val="32"/>
        </w:rPr>
        <w:t>指以前年度尚未完成、结转到本年仍按原规定用途继续使用的资金。</w:t>
      </w:r>
    </w:p>
    <w:p>
      <w:pPr>
        <w:snapToGrid w:val="0"/>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7.基本支出：</w:t>
      </w:r>
      <w:r>
        <w:rPr>
          <w:rFonts w:hint="eastAsia" w:ascii="仿宋_GB2312" w:hAnsi="仿宋_GB2312" w:eastAsia="仿宋_GB2312" w:cs="仿宋_GB2312"/>
          <w:sz w:val="32"/>
          <w:szCs w:val="32"/>
        </w:rPr>
        <w:t>是预算单位为保障其正常运转，完成日常工作任务所发生的支出，包括人员支出和日常公用支出。</w:t>
      </w:r>
    </w:p>
    <w:p>
      <w:pPr>
        <w:snapToGrid w:val="0"/>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8.项目支出：</w:t>
      </w:r>
      <w:r>
        <w:rPr>
          <w:rFonts w:hint="eastAsia" w:ascii="仿宋_GB2312" w:hAnsi="仿宋_GB2312" w:eastAsia="仿宋_GB2312" w:cs="仿宋_GB2312"/>
          <w:sz w:val="32"/>
          <w:szCs w:val="32"/>
        </w:rPr>
        <w:t>是预算单位为完成其特定的行政工作任务或事业发展目标所发生的支出。</w:t>
      </w:r>
    </w:p>
    <w:p>
      <w:pPr>
        <w:snapToGrid w:val="0"/>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9.经营支出：</w:t>
      </w:r>
      <w:r>
        <w:rPr>
          <w:rFonts w:hint="eastAsia" w:ascii="仿宋_GB2312" w:hAnsi="仿宋_GB2312" w:eastAsia="仿宋_GB2312" w:cs="仿宋_GB2312"/>
          <w:sz w:val="32"/>
          <w:szCs w:val="32"/>
        </w:rPr>
        <w:t>指事业单位在专业业务活动及其辅助活动之外开展非独立核算经营活动发生的支出。</w:t>
      </w:r>
    </w:p>
    <w:p>
      <w:pPr>
        <w:snapToGrid w:val="0"/>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10.“三公”经费：</w:t>
      </w:r>
      <w:r>
        <w:rPr>
          <w:rFonts w:hint="eastAsia" w:ascii="仿宋_GB2312" w:hAnsi="仿宋_GB2312" w:eastAsia="仿宋_GB2312" w:cs="仿宋_GB2312"/>
          <w:sz w:val="32"/>
          <w:szCs w:val="32"/>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11.机关运行经费：</w:t>
      </w:r>
      <w:r>
        <w:rPr>
          <w:rFonts w:hint="eastAsia" w:ascii="仿宋_GB2312" w:hAnsi="仿宋_GB2312" w:eastAsia="仿宋_GB2312" w:cs="仿宋_GB2312"/>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324" w:lineRule="auto"/>
        <w:ind w:firstLine="595"/>
        <w:rPr>
          <w:rFonts w:ascii="仿宋_GB2312" w:eastAsia="仿宋_GB2312"/>
          <w:color w:val="000000"/>
          <w:sz w:val="32"/>
          <w:szCs w:val="32"/>
        </w:rPr>
      </w:pPr>
      <w:r>
        <w:rPr>
          <w:rFonts w:hint="eastAsia" w:ascii="仿宋_GB2312" w:hAnsi="仿宋_GB2312" w:eastAsia="仿宋_GB2312" w:cs="仿宋_GB2312"/>
          <w:b/>
          <w:bCs/>
          <w:sz w:val="32"/>
          <w:szCs w:val="32"/>
        </w:rPr>
        <w:t>12.</w:t>
      </w:r>
      <w:r>
        <w:rPr>
          <w:rFonts w:hint="eastAsia" w:ascii="仿宋_GB2312" w:hAnsi="仿宋_GB2312" w:eastAsia="仿宋_GB2312"/>
          <w:sz w:val="32"/>
        </w:rPr>
        <w:t>公共安全支出（类）检察（款）行政运行（项）：指</w:t>
      </w:r>
      <w:r>
        <w:rPr>
          <w:rFonts w:hint="eastAsia" w:ascii="仿宋_GB2312" w:eastAsia="仿宋_GB2312"/>
          <w:color w:val="000000"/>
          <w:sz w:val="32"/>
          <w:szCs w:val="32"/>
        </w:rPr>
        <w:t>用于检察机关人员支出和日常工作运行支出。</w:t>
      </w:r>
    </w:p>
    <w:p>
      <w:pPr>
        <w:spacing w:line="324" w:lineRule="auto"/>
        <w:ind w:firstLine="595"/>
        <w:rPr>
          <w:rFonts w:ascii="仿宋_GB2312" w:hAnsi="仿宋_GB2312" w:eastAsia="仿宋_GB2312"/>
          <w:sz w:val="32"/>
        </w:rPr>
      </w:pPr>
      <w:r>
        <w:rPr>
          <w:rFonts w:hint="eastAsia" w:ascii="仿宋_GB2312" w:hAnsi="仿宋_GB2312" w:eastAsia="仿宋_GB2312" w:cs="仿宋_GB2312"/>
          <w:b/>
          <w:bCs/>
          <w:sz w:val="32"/>
          <w:szCs w:val="32"/>
        </w:rPr>
        <w:t>13.</w:t>
      </w:r>
      <w:r>
        <w:rPr>
          <w:rFonts w:hint="eastAsia" w:ascii="仿宋_GB2312" w:hAnsi="仿宋_GB2312" w:eastAsia="仿宋_GB2312"/>
          <w:sz w:val="32"/>
        </w:rPr>
        <w:t>公共安全支出（类）检察（款）一般行政管理事务（项）：指用于检察院未单独设置项级科目的其他项目支出，包括信息化建设、检察机关依法开展法律监督工作的支出。</w:t>
      </w:r>
    </w:p>
    <w:p>
      <w:pPr>
        <w:pStyle w:val="2"/>
        <w:rPr>
          <w:rFonts w:hint="default"/>
        </w:rPr>
      </w:pPr>
      <w:r>
        <w:t xml:space="preserve">     </w:t>
      </w:r>
      <w:r>
        <w:rPr>
          <w:rFonts w:cs="仿宋_GB2312"/>
          <w:b/>
          <w:bCs/>
          <w:sz w:val="32"/>
          <w:szCs w:val="32"/>
        </w:rPr>
        <w:t>14.</w:t>
      </w:r>
      <w:r>
        <w:rPr>
          <w:sz w:val="32"/>
        </w:rPr>
        <w:t>公共安全支出（类）检察（款）检察监督：指用于检察机关依法开展法律监督工作的支出。</w:t>
      </w:r>
    </w:p>
    <w:p>
      <w:pPr>
        <w:spacing w:line="324" w:lineRule="auto"/>
        <w:ind w:firstLine="595"/>
        <w:rPr>
          <w:rFonts w:ascii="仿宋_GB2312" w:hAnsi="仿宋_GB2312" w:eastAsia="仿宋_GB2312"/>
          <w:sz w:val="32"/>
        </w:rPr>
      </w:pPr>
      <w:r>
        <w:rPr>
          <w:rFonts w:hint="eastAsia" w:ascii="仿宋_GB2312" w:hAnsi="仿宋_GB2312" w:eastAsia="仿宋_GB2312" w:cs="仿宋_GB2312"/>
          <w:b/>
          <w:bCs/>
          <w:sz w:val="32"/>
          <w:szCs w:val="32"/>
        </w:rPr>
        <w:t>15.</w:t>
      </w:r>
      <w:r>
        <w:rPr>
          <w:rFonts w:hint="eastAsia" w:ascii="仿宋_GB2312" w:hAnsi="仿宋_GB2312" w:eastAsia="仿宋_GB2312"/>
          <w:sz w:val="32"/>
        </w:rPr>
        <w:t>公共安全支出（类）检察（款）其他检察支出（项）：</w:t>
      </w:r>
      <w:r>
        <w:rPr>
          <w:rFonts w:ascii="仿宋_GB2312" w:hAnsi="仿宋_GB2312" w:eastAsia="仿宋_GB2312"/>
          <w:sz w:val="32"/>
        </w:rPr>
        <w:t xml:space="preserve"> 指其他用于检察方面的支出</w:t>
      </w:r>
      <w:r>
        <w:rPr>
          <w:rFonts w:hint="eastAsia" w:ascii="仿宋_GB2312" w:hAnsi="仿宋_GB2312" w:eastAsia="仿宋_GB2312"/>
          <w:sz w:val="32"/>
        </w:rPr>
        <w:t>。</w:t>
      </w:r>
    </w:p>
    <w:p>
      <w:pPr>
        <w:spacing w:line="324" w:lineRule="auto"/>
        <w:ind w:firstLine="595"/>
        <w:rPr>
          <w:rFonts w:ascii="仿宋_GB2312" w:eastAsia="仿宋_GB2312"/>
          <w:color w:val="000000"/>
          <w:sz w:val="32"/>
          <w:szCs w:val="32"/>
        </w:rPr>
      </w:pPr>
      <w:r>
        <w:rPr>
          <w:rFonts w:hint="eastAsia" w:ascii="仿宋_GB2312" w:hAnsi="仿宋_GB2312" w:eastAsia="仿宋_GB2312" w:cs="仿宋_GB2312"/>
          <w:b/>
          <w:bCs/>
          <w:sz w:val="32"/>
          <w:szCs w:val="32"/>
        </w:rPr>
        <w:t>16.</w:t>
      </w:r>
      <w:r>
        <w:rPr>
          <w:rFonts w:hint="eastAsia" w:ascii="仿宋_GB2312" w:eastAsia="仿宋_GB2312"/>
          <w:color w:val="000000"/>
          <w:sz w:val="32"/>
          <w:szCs w:val="32"/>
        </w:rPr>
        <w:t>社会保障和就业支出（类）行政事业单位养老支出（款）机关事业单位基本养老保险缴费支出：指单位缴纳的基本养老保险费支出。</w:t>
      </w:r>
    </w:p>
    <w:p>
      <w:pPr>
        <w:spacing w:line="540" w:lineRule="exact"/>
        <w:ind w:firstLine="640"/>
        <w:jc w:val="left"/>
        <w:rPr>
          <w:rFonts w:ascii="仿宋_GB2312" w:eastAsia="仿宋_GB2312"/>
          <w:color w:val="000000"/>
          <w:sz w:val="32"/>
          <w:szCs w:val="32"/>
        </w:rPr>
      </w:pPr>
      <w:r>
        <w:rPr>
          <w:rFonts w:hint="eastAsia" w:ascii="仿宋_GB2312" w:hAnsi="仿宋_GB2312" w:eastAsia="仿宋_GB2312" w:cs="仿宋_GB2312"/>
          <w:b/>
          <w:bCs/>
          <w:sz w:val="32"/>
          <w:szCs w:val="32"/>
        </w:rPr>
        <w:t>17.</w:t>
      </w:r>
      <w:r>
        <w:rPr>
          <w:rFonts w:hint="eastAsia" w:ascii="仿宋_GB2312" w:eastAsia="仿宋_GB2312"/>
          <w:color w:val="000000"/>
          <w:sz w:val="32"/>
          <w:szCs w:val="32"/>
        </w:rPr>
        <w:t>社会保障和就业支出（类）行政事业单位养老支出（款）机关事业单位职业年金缴费支出：指单位实际缴纳的职业年金支出。</w:t>
      </w:r>
    </w:p>
    <w:p>
      <w:pPr>
        <w:spacing w:line="324" w:lineRule="auto"/>
        <w:ind w:firstLine="595"/>
        <w:rPr>
          <w:rFonts w:hint="eastAsia" w:ascii="仿宋_GB2312" w:eastAsia="仿宋_GB2312"/>
          <w:color w:val="000000"/>
          <w:sz w:val="32"/>
          <w:szCs w:val="32"/>
        </w:rPr>
      </w:pPr>
      <w:r>
        <w:rPr>
          <w:rFonts w:hint="eastAsia" w:ascii="仿宋_GB2312" w:hAnsi="仿宋_GB2312" w:eastAsia="仿宋_GB2312" w:cs="仿宋_GB2312"/>
          <w:b/>
          <w:bCs/>
          <w:sz w:val="32"/>
          <w:szCs w:val="32"/>
        </w:rPr>
        <w:t>18.</w:t>
      </w:r>
      <w:r>
        <w:rPr>
          <w:rFonts w:hint="eastAsia" w:ascii="仿宋_GB2312" w:eastAsia="仿宋_GB2312"/>
          <w:color w:val="000000"/>
          <w:sz w:val="32"/>
          <w:szCs w:val="32"/>
        </w:rPr>
        <w:t>社会保障和就业支出（类）行政事业单位养老支出（款）其他行政事为单位养老支出（项）：指用于行政事业单位养老方面的支出。</w:t>
      </w:r>
    </w:p>
    <w:p>
      <w:pPr>
        <w:pStyle w:val="2"/>
        <w:ind w:firstLine="643" w:firstLineChars="200"/>
        <w:rPr>
          <w:rFonts w:hint="eastAsia" w:ascii="仿宋_GB2312" w:eastAsia="仿宋_GB2312"/>
          <w:color w:val="auto"/>
          <w:sz w:val="32"/>
          <w:szCs w:val="32"/>
          <w:lang w:eastAsia="zh-CN"/>
        </w:rPr>
      </w:pPr>
      <w:r>
        <w:rPr>
          <w:rFonts w:hint="eastAsia" w:ascii="仿宋_GB2312" w:hAnsi="仿宋_GB2312" w:eastAsia="仿宋_GB2312" w:cs="仿宋_GB2312"/>
          <w:b/>
          <w:bCs/>
          <w:sz w:val="32"/>
          <w:szCs w:val="32"/>
        </w:rPr>
        <w:t>19.</w:t>
      </w:r>
      <w:r>
        <w:rPr>
          <w:rFonts w:hint="eastAsia" w:ascii="仿宋_GB2312" w:eastAsia="仿宋_GB2312"/>
          <w:color w:val="auto"/>
          <w:sz w:val="32"/>
          <w:szCs w:val="32"/>
        </w:rPr>
        <w:t>社会保障和就业支出（类）</w:t>
      </w:r>
      <w:r>
        <w:rPr>
          <w:rFonts w:hint="eastAsia" w:ascii="仿宋_GB2312" w:eastAsia="仿宋_GB2312"/>
          <w:color w:val="auto"/>
          <w:sz w:val="32"/>
          <w:szCs w:val="32"/>
          <w:lang w:eastAsia="zh-CN"/>
        </w:rPr>
        <w:t>财政对</w:t>
      </w:r>
      <w:r>
        <w:rPr>
          <w:rFonts w:hint="eastAsia" w:ascii="仿宋_GB2312" w:eastAsia="仿宋_GB2312"/>
          <w:color w:val="auto"/>
          <w:sz w:val="32"/>
          <w:szCs w:val="32"/>
        </w:rPr>
        <w:t>其他</w:t>
      </w:r>
      <w:r>
        <w:rPr>
          <w:rFonts w:hint="eastAsia" w:ascii="仿宋_GB2312" w:eastAsia="仿宋_GB2312"/>
          <w:color w:val="auto"/>
          <w:sz w:val="32"/>
          <w:szCs w:val="32"/>
          <w:lang w:eastAsia="zh-CN"/>
        </w:rPr>
        <w:t>社会保险基金的补助</w:t>
      </w:r>
      <w:r>
        <w:rPr>
          <w:rFonts w:hint="eastAsia" w:ascii="仿宋_GB2312" w:eastAsia="仿宋_GB2312"/>
          <w:color w:val="auto"/>
          <w:sz w:val="32"/>
          <w:szCs w:val="32"/>
        </w:rPr>
        <w:t>（款）</w:t>
      </w:r>
      <w:r>
        <w:rPr>
          <w:rFonts w:hint="eastAsia" w:ascii="仿宋_GB2312" w:eastAsia="仿宋_GB2312"/>
          <w:color w:val="auto"/>
          <w:sz w:val="32"/>
          <w:szCs w:val="32"/>
          <w:lang w:eastAsia="zh-CN"/>
        </w:rPr>
        <w:t>其他财政对社会保险基金的补助</w:t>
      </w:r>
      <w:r>
        <w:rPr>
          <w:rFonts w:hint="eastAsia" w:ascii="仿宋_GB2312" w:eastAsia="仿宋_GB2312"/>
          <w:color w:val="auto"/>
          <w:sz w:val="32"/>
          <w:szCs w:val="32"/>
        </w:rPr>
        <w:t>（项）</w:t>
      </w:r>
      <w:r>
        <w:rPr>
          <w:rFonts w:hint="eastAsia"/>
          <w:color w:val="auto"/>
          <w:sz w:val="32"/>
          <w:szCs w:val="32"/>
          <w:lang w:eastAsia="zh-CN"/>
        </w:rPr>
        <w:t>：指用于</w:t>
      </w:r>
      <w:r>
        <w:rPr>
          <w:rFonts w:hint="eastAsia" w:ascii="仿宋_GB2312" w:eastAsia="仿宋_GB2312"/>
          <w:color w:val="auto"/>
          <w:sz w:val="32"/>
          <w:szCs w:val="32"/>
          <w:lang w:eastAsia="zh-CN"/>
        </w:rPr>
        <w:t>其他财政对社会保险基金的补助支出</w:t>
      </w:r>
      <w:r>
        <w:rPr>
          <w:rFonts w:hint="eastAsia"/>
          <w:color w:val="auto"/>
          <w:sz w:val="32"/>
          <w:szCs w:val="32"/>
          <w:lang w:eastAsia="zh-CN"/>
        </w:rPr>
        <w:t>。</w:t>
      </w:r>
    </w:p>
    <w:p>
      <w:pPr>
        <w:pStyle w:val="2"/>
        <w:ind w:firstLine="643" w:firstLineChars="200"/>
        <w:rPr>
          <w:rFonts w:ascii="仿宋_GB2312" w:eastAsia="仿宋_GB2312"/>
          <w:color w:val="000000"/>
          <w:sz w:val="32"/>
          <w:szCs w:val="32"/>
        </w:rPr>
      </w:pPr>
      <w:r>
        <w:rPr>
          <w:rFonts w:hint="eastAsia" w:ascii="仿宋_GB2312" w:hAnsi="仿宋_GB2312" w:eastAsia="仿宋_GB2312" w:cs="仿宋_GB2312"/>
          <w:b/>
          <w:bCs/>
          <w:sz w:val="32"/>
          <w:szCs w:val="32"/>
          <w:lang w:val="en-US" w:eastAsia="zh-CN"/>
        </w:rPr>
        <w:t>20</w:t>
      </w:r>
      <w:r>
        <w:rPr>
          <w:rFonts w:hint="eastAsia" w:ascii="仿宋_GB2312" w:hAnsi="仿宋_GB2312" w:eastAsia="仿宋_GB2312" w:cs="仿宋_GB2312"/>
          <w:b/>
          <w:bCs/>
          <w:sz w:val="32"/>
          <w:szCs w:val="32"/>
        </w:rPr>
        <w:t>.</w:t>
      </w:r>
      <w:r>
        <w:rPr>
          <w:rFonts w:hint="eastAsia" w:ascii="仿宋_GB2312" w:eastAsia="仿宋_GB2312"/>
          <w:color w:val="000000"/>
          <w:sz w:val="32"/>
          <w:szCs w:val="32"/>
        </w:rPr>
        <w:t>住房保障支出（类）住房改革支出（款）住房公积金（项）：指按人力资源和社会保障部、财政部规定的基本工资和津补贴以及规定比例为职工缴纳的住房公积金。</w:t>
      </w:r>
    </w:p>
    <w:p>
      <w:pPr>
        <w:snapToGrid w:val="0"/>
        <w:spacing w:line="540" w:lineRule="exact"/>
        <w:ind w:firstLine="420" w:firstLineChars="200"/>
      </w:pPr>
    </w:p>
    <w:p>
      <w:bookmarkStart w:id="0" w:name="_GoBack"/>
      <w:bookmarkEnd w:id="0"/>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61B0"/>
    <w:multiLevelType w:val="singleLevel"/>
    <w:tmpl w:val="143861B0"/>
    <w:lvl w:ilvl="0" w:tentative="0">
      <w:start w:val="3"/>
      <w:numFmt w:val="decimal"/>
      <w:lvlText w:val="%1."/>
      <w:lvlJc w:val="left"/>
      <w:pPr>
        <w:tabs>
          <w:tab w:val="left" w:pos="312"/>
        </w:tabs>
        <w:ind w:left="963" w:leftChars="0" w:firstLine="0" w:firstLineChars="0"/>
      </w:pPr>
    </w:lvl>
  </w:abstractNum>
  <w:abstractNum w:abstractNumId="1">
    <w:nsid w:val="1DBECA43"/>
    <w:multiLevelType w:val="singleLevel"/>
    <w:tmpl w:val="1DBECA43"/>
    <w:lvl w:ilvl="0" w:tentative="0">
      <w:start w:val="1"/>
      <w:numFmt w:val="decimal"/>
      <w:suff w:val="nothing"/>
      <w:lvlText w:val="（%1）"/>
      <w:lvlJc w:val="left"/>
    </w:lvl>
  </w:abstractNum>
  <w:abstractNum w:abstractNumId="2">
    <w:nsid w:val="5893F62F"/>
    <w:multiLevelType w:val="singleLevel"/>
    <w:tmpl w:val="5893F62F"/>
    <w:lvl w:ilvl="0" w:tentative="0">
      <w:start w:val="2"/>
      <w:numFmt w:val="decimal"/>
      <w:suff w:val="nothing"/>
      <w:lvlText w:val="%1."/>
      <w:lvlJc w:val="left"/>
    </w:lvl>
  </w:abstractNum>
  <w:abstractNum w:abstractNumId="3">
    <w:nsid w:val="5895A99C"/>
    <w:multiLevelType w:val="singleLevel"/>
    <w:tmpl w:val="5895A99C"/>
    <w:lvl w:ilvl="0" w:tentative="0">
      <w:start w:val="5"/>
      <w:numFmt w:val="chineseCounting"/>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453C"/>
    <w:rsid w:val="00037FBA"/>
    <w:rsid w:val="00084C3B"/>
    <w:rsid w:val="000F6704"/>
    <w:rsid w:val="0014553D"/>
    <w:rsid w:val="00151805"/>
    <w:rsid w:val="0018453C"/>
    <w:rsid w:val="0025199F"/>
    <w:rsid w:val="00262BFB"/>
    <w:rsid w:val="002E190E"/>
    <w:rsid w:val="00312421"/>
    <w:rsid w:val="0034320B"/>
    <w:rsid w:val="0035041B"/>
    <w:rsid w:val="003533AA"/>
    <w:rsid w:val="00372A55"/>
    <w:rsid w:val="003A54FF"/>
    <w:rsid w:val="004C1A7E"/>
    <w:rsid w:val="004F65D0"/>
    <w:rsid w:val="004F6D96"/>
    <w:rsid w:val="0054517F"/>
    <w:rsid w:val="0055355B"/>
    <w:rsid w:val="00576237"/>
    <w:rsid w:val="005E47B3"/>
    <w:rsid w:val="005E7D52"/>
    <w:rsid w:val="00655F61"/>
    <w:rsid w:val="006C39E2"/>
    <w:rsid w:val="006D5442"/>
    <w:rsid w:val="006D7FE3"/>
    <w:rsid w:val="006E085B"/>
    <w:rsid w:val="006F455E"/>
    <w:rsid w:val="007072D9"/>
    <w:rsid w:val="0073245A"/>
    <w:rsid w:val="007715EF"/>
    <w:rsid w:val="007A0C65"/>
    <w:rsid w:val="007B431F"/>
    <w:rsid w:val="007E4CC3"/>
    <w:rsid w:val="00801E01"/>
    <w:rsid w:val="00834DDF"/>
    <w:rsid w:val="00850DC9"/>
    <w:rsid w:val="0089440C"/>
    <w:rsid w:val="009415A1"/>
    <w:rsid w:val="009427F2"/>
    <w:rsid w:val="009A7459"/>
    <w:rsid w:val="009B71E7"/>
    <w:rsid w:val="00A76362"/>
    <w:rsid w:val="00A86842"/>
    <w:rsid w:val="00AB2741"/>
    <w:rsid w:val="00B109C2"/>
    <w:rsid w:val="00BA6311"/>
    <w:rsid w:val="00C35F38"/>
    <w:rsid w:val="00C47BB8"/>
    <w:rsid w:val="00C52D1F"/>
    <w:rsid w:val="00CE3F52"/>
    <w:rsid w:val="00D81B35"/>
    <w:rsid w:val="00DA6F5B"/>
    <w:rsid w:val="00DA7F84"/>
    <w:rsid w:val="00E20FB4"/>
    <w:rsid w:val="00E40834"/>
    <w:rsid w:val="00E429D8"/>
    <w:rsid w:val="00E44C58"/>
    <w:rsid w:val="00E925CD"/>
    <w:rsid w:val="00F23B56"/>
    <w:rsid w:val="00F56A05"/>
    <w:rsid w:val="00F7116F"/>
    <w:rsid w:val="01405C62"/>
    <w:rsid w:val="01F263DB"/>
    <w:rsid w:val="01F648EB"/>
    <w:rsid w:val="024C6702"/>
    <w:rsid w:val="026505B4"/>
    <w:rsid w:val="028630A1"/>
    <w:rsid w:val="02FD4879"/>
    <w:rsid w:val="038C7FF1"/>
    <w:rsid w:val="03AA3E3B"/>
    <w:rsid w:val="03EA5C50"/>
    <w:rsid w:val="04600135"/>
    <w:rsid w:val="05054F3D"/>
    <w:rsid w:val="05F46152"/>
    <w:rsid w:val="05F835B0"/>
    <w:rsid w:val="06113422"/>
    <w:rsid w:val="063B27DE"/>
    <w:rsid w:val="065E25EC"/>
    <w:rsid w:val="06835E42"/>
    <w:rsid w:val="07487AC1"/>
    <w:rsid w:val="07623DA7"/>
    <w:rsid w:val="081119C7"/>
    <w:rsid w:val="08DE4DFD"/>
    <w:rsid w:val="0A1D1E06"/>
    <w:rsid w:val="0A4C7CCD"/>
    <w:rsid w:val="0B486D9D"/>
    <w:rsid w:val="0B4F52A1"/>
    <w:rsid w:val="0B652DFD"/>
    <w:rsid w:val="0BD448F3"/>
    <w:rsid w:val="0C7B7749"/>
    <w:rsid w:val="0CE2397A"/>
    <w:rsid w:val="0CEE5818"/>
    <w:rsid w:val="0DDF3EA9"/>
    <w:rsid w:val="0F0A0BC6"/>
    <w:rsid w:val="0F216C64"/>
    <w:rsid w:val="0F3E23E2"/>
    <w:rsid w:val="0F5C4EB1"/>
    <w:rsid w:val="0F760C96"/>
    <w:rsid w:val="0F8B51E9"/>
    <w:rsid w:val="106B2554"/>
    <w:rsid w:val="1085571C"/>
    <w:rsid w:val="12970A77"/>
    <w:rsid w:val="12D300E7"/>
    <w:rsid w:val="136B79EF"/>
    <w:rsid w:val="13811EEE"/>
    <w:rsid w:val="14861683"/>
    <w:rsid w:val="14887B46"/>
    <w:rsid w:val="14EF3497"/>
    <w:rsid w:val="153C45B3"/>
    <w:rsid w:val="157947AC"/>
    <w:rsid w:val="157C6FA4"/>
    <w:rsid w:val="1588286F"/>
    <w:rsid w:val="15DB09EF"/>
    <w:rsid w:val="1650535C"/>
    <w:rsid w:val="16B75B8F"/>
    <w:rsid w:val="16FE1938"/>
    <w:rsid w:val="170C3948"/>
    <w:rsid w:val="17EC7FC1"/>
    <w:rsid w:val="17F81734"/>
    <w:rsid w:val="180061CB"/>
    <w:rsid w:val="18154C5A"/>
    <w:rsid w:val="18EF3804"/>
    <w:rsid w:val="195C3A7E"/>
    <w:rsid w:val="1A2375F0"/>
    <w:rsid w:val="1AC0275A"/>
    <w:rsid w:val="1AE500E3"/>
    <w:rsid w:val="1B1D1342"/>
    <w:rsid w:val="1B2A6629"/>
    <w:rsid w:val="1BBC2184"/>
    <w:rsid w:val="1C103D2D"/>
    <w:rsid w:val="1C1965EC"/>
    <w:rsid w:val="1C7701B9"/>
    <w:rsid w:val="1CEA3F89"/>
    <w:rsid w:val="1CF73295"/>
    <w:rsid w:val="1D451326"/>
    <w:rsid w:val="1D5F4748"/>
    <w:rsid w:val="1D99665F"/>
    <w:rsid w:val="1E621D9B"/>
    <w:rsid w:val="1E9448CB"/>
    <w:rsid w:val="1E945AB3"/>
    <w:rsid w:val="1EFB5835"/>
    <w:rsid w:val="1F8A1433"/>
    <w:rsid w:val="1FD94E57"/>
    <w:rsid w:val="205247F6"/>
    <w:rsid w:val="206501BF"/>
    <w:rsid w:val="20C21B5F"/>
    <w:rsid w:val="20D8491F"/>
    <w:rsid w:val="2163103A"/>
    <w:rsid w:val="217D79B3"/>
    <w:rsid w:val="219B3B12"/>
    <w:rsid w:val="21F8300E"/>
    <w:rsid w:val="22D4227E"/>
    <w:rsid w:val="22FA27EC"/>
    <w:rsid w:val="230477A4"/>
    <w:rsid w:val="234550B7"/>
    <w:rsid w:val="2384696C"/>
    <w:rsid w:val="23B968AE"/>
    <w:rsid w:val="240772FF"/>
    <w:rsid w:val="24183DF0"/>
    <w:rsid w:val="247778DD"/>
    <w:rsid w:val="247A77A8"/>
    <w:rsid w:val="24D6630F"/>
    <w:rsid w:val="24F84929"/>
    <w:rsid w:val="252A0A7B"/>
    <w:rsid w:val="257B506C"/>
    <w:rsid w:val="25AF42DB"/>
    <w:rsid w:val="25B348BA"/>
    <w:rsid w:val="25DE1005"/>
    <w:rsid w:val="25FD2566"/>
    <w:rsid w:val="26816946"/>
    <w:rsid w:val="26DB7398"/>
    <w:rsid w:val="2705728B"/>
    <w:rsid w:val="27417BF8"/>
    <w:rsid w:val="27693B45"/>
    <w:rsid w:val="283A129B"/>
    <w:rsid w:val="28FE78EF"/>
    <w:rsid w:val="29672817"/>
    <w:rsid w:val="29954B63"/>
    <w:rsid w:val="29A41943"/>
    <w:rsid w:val="29B831E7"/>
    <w:rsid w:val="29DF16A7"/>
    <w:rsid w:val="29F74F67"/>
    <w:rsid w:val="2A4706F7"/>
    <w:rsid w:val="2A484907"/>
    <w:rsid w:val="2B755902"/>
    <w:rsid w:val="2BA81833"/>
    <w:rsid w:val="2BAC3F70"/>
    <w:rsid w:val="2BB02AB9"/>
    <w:rsid w:val="2C56166B"/>
    <w:rsid w:val="2C772798"/>
    <w:rsid w:val="2CE33635"/>
    <w:rsid w:val="2D391980"/>
    <w:rsid w:val="2D7C6F9A"/>
    <w:rsid w:val="2ED263DE"/>
    <w:rsid w:val="2F312BD6"/>
    <w:rsid w:val="2F4F315F"/>
    <w:rsid w:val="2F5260FE"/>
    <w:rsid w:val="2F78760A"/>
    <w:rsid w:val="30780EC9"/>
    <w:rsid w:val="31651329"/>
    <w:rsid w:val="31C46552"/>
    <w:rsid w:val="31EC7268"/>
    <w:rsid w:val="32691E0F"/>
    <w:rsid w:val="33722AF4"/>
    <w:rsid w:val="339F6CDD"/>
    <w:rsid w:val="344952F9"/>
    <w:rsid w:val="348B32A5"/>
    <w:rsid w:val="34F20284"/>
    <w:rsid w:val="3619346A"/>
    <w:rsid w:val="366152C5"/>
    <w:rsid w:val="37562E88"/>
    <w:rsid w:val="37DD34EA"/>
    <w:rsid w:val="3859649B"/>
    <w:rsid w:val="386D2696"/>
    <w:rsid w:val="38CA384A"/>
    <w:rsid w:val="39227B1B"/>
    <w:rsid w:val="39406911"/>
    <w:rsid w:val="39850296"/>
    <w:rsid w:val="39C26750"/>
    <w:rsid w:val="3A7F1D43"/>
    <w:rsid w:val="3A8D223E"/>
    <w:rsid w:val="3B291386"/>
    <w:rsid w:val="3B563038"/>
    <w:rsid w:val="3B7A306D"/>
    <w:rsid w:val="3B80307E"/>
    <w:rsid w:val="3BCA7BD7"/>
    <w:rsid w:val="3C6C37E2"/>
    <w:rsid w:val="3C7D1C3F"/>
    <w:rsid w:val="3CEA3E5A"/>
    <w:rsid w:val="3CFD6A0C"/>
    <w:rsid w:val="3DDA1E4D"/>
    <w:rsid w:val="3DE06285"/>
    <w:rsid w:val="3F3C3D75"/>
    <w:rsid w:val="400943B7"/>
    <w:rsid w:val="40143523"/>
    <w:rsid w:val="406B2735"/>
    <w:rsid w:val="4171469C"/>
    <w:rsid w:val="42C454C8"/>
    <w:rsid w:val="43482ADF"/>
    <w:rsid w:val="43497E11"/>
    <w:rsid w:val="438C52D1"/>
    <w:rsid w:val="43AF1DC7"/>
    <w:rsid w:val="442360D8"/>
    <w:rsid w:val="450B3104"/>
    <w:rsid w:val="45374F70"/>
    <w:rsid w:val="45A32D85"/>
    <w:rsid w:val="45AA13F9"/>
    <w:rsid w:val="45E922E2"/>
    <w:rsid w:val="46181B9F"/>
    <w:rsid w:val="46B73DB3"/>
    <w:rsid w:val="46B85A12"/>
    <w:rsid w:val="46C20ABF"/>
    <w:rsid w:val="471C5409"/>
    <w:rsid w:val="475E76EE"/>
    <w:rsid w:val="47B54AE2"/>
    <w:rsid w:val="484652C3"/>
    <w:rsid w:val="489E735B"/>
    <w:rsid w:val="48EF215B"/>
    <w:rsid w:val="49547ADE"/>
    <w:rsid w:val="499358EA"/>
    <w:rsid w:val="49A70025"/>
    <w:rsid w:val="4A9518DB"/>
    <w:rsid w:val="4AB935E6"/>
    <w:rsid w:val="4B1F601E"/>
    <w:rsid w:val="4B65339C"/>
    <w:rsid w:val="4BE2220E"/>
    <w:rsid w:val="4C5F1ACC"/>
    <w:rsid w:val="4C9246FA"/>
    <w:rsid w:val="4CBF2857"/>
    <w:rsid w:val="4CF82AE4"/>
    <w:rsid w:val="4D097364"/>
    <w:rsid w:val="4D292490"/>
    <w:rsid w:val="4D667BB3"/>
    <w:rsid w:val="4D7808AB"/>
    <w:rsid w:val="4DC87963"/>
    <w:rsid w:val="4E0626FD"/>
    <w:rsid w:val="4E9F26D6"/>
    <w:rsid w:val="4EA45B39"/>
    <w:rsid w:val="4EED2017"/>
    <w:rsid w:val="4F2E2211"/>
    <w:rsid w:val="4F4E78CD"/>
    <w:rsid w:val="4FA62E1E"/>
    <w:rsid w:val="4FAC0AB2"/>
    <w:rsid w:val="4FC809F8"/>
    <w:rsid w:val="4FE85961"/>
    <w:rsid w:val="50072C4D"/>
    <w:rsid w:val="50341189"/>
    <w:rsid w:val="50837233"/>
    <w:rsid w:val="514C5668"/>
    <w:rsid w:val="51513799"/>
    <w:rsid w:val="518C29B6"/>
    <w:rsid w:val="52170DB7"/>
    <w:rsid w:val="52AA23A8"/>
    <w:rsid w:val="52B7187A"/>
    <w:rsid w:val="52BF3A93"/>
    <w:rsid w:val="53A5465B"/>
    <w:rsid w:val="53B6028C"/>
    <w:rsid w:val="53C2094E"/>
    <w:rsid w:val="54392B16"/>
    <w:rsid w:val="54442E65"/>
    <w:rsid w:val="545B2AA1"/>
    <w:rsid w:val="548604CA"/>
    <w:rsid w:val="549B5701"/>
    <w:rsid w:val="54A9277D"/>
    <w:rsid w:val="55182E77"/>
    <w:rsid w:val="553F16B7"/>
    <w:rsid w:val="558856A9"/>
    <w:rsid w:val="55CA2A9E"/>
    <w:rsid w:val="55CA3B80"/>
    <w:rsid w:val="55E50F1B"/>
    <w:rsid w:val="565F6886"/>
    <w:rsid w:val="56BC237C"/>
    <w:rsid w:val="56CD4B4D"/>
    <w:rsid w:val="575C7815"/>
    <w:rsid w:val="5798381B"/>
    <w:rsid w:val="57D4447A"/>
    <w:rsid w:val="57F759F2"/>
    <w:rsid w:val="585447AE"/>
    <w:rsid w:val="58AF736D"/>
    <w:rsid w:val="58EC4DE1"/>
    <w:rsid w:val="596B72CE"/>
    <w:rsid w:val="59B3494A"/>
    <w:rsid w:val="59DE76C7"/>
    <w:rsid w:val="59EB1B1F"/>
    <w:rsid w:val="59EC6E24"/>
    <w:rsid w:val="5A0B2520"/>
    <w:rsid w:val="5A160204"/>
    <w:rsid w:val="5A186813"/>
    <w:rsid w:val="5A3B2376"/>
    <w:rsid w:val="5A40591F"/>
    <w:rsid w:val="5A6F0692"/>
    <w:rsid w:val="5ABF2E42"/>
    <w:rsid w:val="5B486CF3"/>
    <w:rsid w:val="5B586398"/>
    <w:rsid w:val="5B916903"/>
    <w:rsid w:val="5BEF472E"/>
    <w:rsid w:val="5C932202"/>
    <w:rsid w:val="5CC87E6F"/>
    <w:rsid w:val="5CD918EA"/>
    <w:rsid w:val="5D247D3D"/>
    <w:rsid w:val="5DAE1AC9"/>
    <w:rsid w:val="5E153AF5"/>
    <w:rsid w:val="5F0E1E7F"/>
    <w:rsid w:val="5F112305"/>
    <w:rsid w:val="5F2767B3"/>
    <w:rsid w:val="5FE31F70"/>
    <w:rsid w:val="60045498"/>
    <w:rsid w:val="60CC48DE"/>
    <w:rsid w:val="614C1844"/>
    <w:rsid w:val="617A6C2D"/>
    <w:rsid w:val="618968F0"/>
    <w:rsid w:val="619E6355"/>
    <w:rsid w:val="61BD64DA"/>
    <w:rsid w:val="6215384D"/>
    <w:rsid w:val="627460EE"/>
    <w:rsid w:val="627944F2"/>
    <w:rsid w:val="627F7D6A"/>
    <w:rsid w:val="62AC06BC"/>
    <w:rsid w:val="633B4987"/>
    <w:rsid w:val="63525D55"/>
    <w:rsid w:val="63F321C7"/>
    <w:rsid w:val="64C20A08"/>
    <w:rsid w:val="64F06443"/>
    <w:rsid w:val="65737FB9"/>
    <w:rsid w:val="65DF5ECF"/>
    <w:rsid w:val="665A45AE"/>
    <w:rsid w:val="66A662C4"/>
    <w:rsid w:val="66DE2D4E"/>
    <w:rsid w:val="67222B8A"/>
    <w:rsid w:val="679D182D"/>
    <w:rsid w:val="67BB6396"/>
    <w:rsid w:val="68070598"/>
    <w:rsid w:val="68794E30"/>
    <w:rsid w:val="687B5327"/>
    <w:rsid w:val="688621C1"/>
    <w:rsid w:val="68C15BDE"/>
    <w:rsid w:val="6AD23ACD"/>
    <w:rsid w:val="6AE706B2"/>
    <w:rsid w:val="6B103823"/>
    <w:rsid w:val="6B315A81"/>
    <w:rsid w:val="6C3F4637"/>
    <w:rsid w:val="6C9D07C7"/>
    <w:rsid w:val="6CB426A8"/>
    <w:rsid w:val="6D3835CD"/>
    <w:rsid w:val="6D9B59D3"/>
    <w:rsid w:val="6DDF18A8"/>
    <w:rsid w:val="6E7742D5"/>
    <w:rsid w:val="6E947A29"/>
    <w:rsid w:val="6EFB1E55"/>
    <w:rsid w:val="701E0D35"/>
    <w:rsid w:val="708C2BAE"/>
    <w:rsid w:val="717A54B6"/>
    <w:rsid w:val="71E47115"/>
    <w:rsid w:val="72124418"/>
    <w:rsid w:val="727C0F4F"/>
    <w:rsid w:val="72BF52A3"/>
    <w:rsid w:val="733065AC"/>
    <w:rsid w:val="73520170"/>
    <w:rsid w:val="73B32D5B"/>
    <w:rsid w:val="73C21769"/>
    <w:rsid w:val="74906E74"/>
    <w:rsid w:val="74D2633E"/>
    <w:rsid w:val="75127B2A"/>
    <w:rsid w:val="756B70AB"/>
    <w:rsid w:val="762D45E7"/>
    <w:rsid w:val="76432C97"/>
    <w:rsid w:val="76472E5B"/>
    <w:rsid w:val="76622032"/>
    <w:rsid w:val="76DA2B8D"/>
    <w:rsid w:val="773F1B2E"/>
    <w:rsid w:val="776141C0"/>
    <w:rsid w:val="77E71EE7"/>
    <w:rsid w:val="78403651"/>
    <w:rsid w:val="784051C1"/>
    <w:rsid w:val="789E16E5"/>
    <w:rsid w:val="78DB40C6"/>
    <w:rsid w:val="7954401D"/>
    <w:rsid w:val="79547EF1"/>
    <w:rsid w:val="79A24C96"/>
    <w:rsid w:val="7AC02D1F"/>
    <w:rsid w:val="7AE80A7B"/>
    <w:rsid w:val="7AE861A8"/>
    <w:rsid w:val="7B452E9A"/>
    <w:rsid w:val="7B5E14E4"/>
    <w:rsid w:val="7B741965"/>
    <w:rsid w:val="7BBF78B4"/>
    <w:rsid w:val="7BFE30BC"/>
    <w:rsid w:val="7C0A7BF1"/>
    <w:rsid w:val="7CD24C07"/>
    <w:rsid w:val="7CDD0037"/>
    <w:rsid w:val="7D2C5AF6"/>
    <w:rsid w:val="7D8F4D87"/>
    <w:rsid w:val="7DBB66FE"/>
    <w:rsid w:val="7DBE27C1"/>
    <w:rsid w:val="7DCA5F0F"/>
    <w:rsid w:val="7E1F736F"/>
    <w:rsid w:val="7E300305"/>
    <w:rsid w:val="7E7D74C3"/>
    <w:rsid w:val="7F346A78"/>
    <w:rsid w:val="7F542AE8"/>
    <w:rsid w:val="7FA57776"/>
    <w:rsid w:val="7FC25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link w:val="10"/>
    <w:semiHidden/>
    <w:unhideWhenUsed/>
    <w:qFormat/>
    <w:uiPriority w:val="1"/>
    <w:rPr>
      <w:rFonts w:ascii="宋体" w:hAnsi="宋体" w:cs="Courier New"/>
      <w:sz w:val="32"/>
      <w:szCs w:val="32"/>
    </w:rPr>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Document Map"/>
    <w:basedOn w:val="1"/>
    <w:semiHidden/>
    <w:qFormat/>
    <w:uiPriority w:val="0"/>
    <w:pPr>
      <w:shd w:val="clear" w:color="auto" w:fill="000080"/>
    </w:p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
    <w:basedOn w:val="1"/>
    <w:link w:val="9"/>
    <w:qFormat/>
    <w:uiPriority w:val="0"/>
    <w:rPr>
      <w:rFonts w:ascii="宋体" w:hAnsi="宋体" w:cs="Courier New"/>
      <w:sz w:val="32"/>
      <w:szCs w:val="32"/>
    </w:rPr>
  </w:style>
  <w:style w:type="character" w:styleId="11">
    <w:name w:val="Strong"/>
    <w:basedOn w:val="9"/>
    <w:qFormat/>
    <w:uiPriority w:val="0"/>
    <w:rPr>
      <w:b/>
      <w:bCs/>
    </w:rPr>
  </w:style>
  <w:style w:type="character" w:customStyle="1" w:styleId="12">
    <w:name w:val="页眉 Char"/>
    <w:link w:val="5"/>
    <w:qFormat/>
    <w:uiPriority w:val="0"/>
    <w:rPr>
      <w:kern w:val="2"/>
      <w:sz w:val="18"/>
      <w:szCs w:val="18"/>
    </w:rPr>
  </w:style>
  <w:style w:type="character" w:customStyle="1" w:styleId="13">
    <w:name w:val="页脚 Char"/>
    <w:link w:val="4"/>
    <w:qFormat/>
    <w:uiPriority w:val="0"/>
    <w:rPr>
      <w:kern w:val="2"/>
      <w:sz w:val="18"/>
      <w:szCs w:val="18"/>
    </w:rPr>
  </w:style>
  <w:style w:type="paragraph" w:customStyle="1" w:styleId="14">
    <w:name w:val="[Normal]"/>
    <w:qFormat/>
    <w:uiPriority w:val="0"/>
    <w:rPr>
      <w:rFonts w:ascii="宋体" w:hAnsi="宋体" w:eastAsia="宋体" w:cs="Times New Roman"/>
      <w:sz w:val="24"/>
      <w:lang w:val="zh-CN" w:eastAsia="zh-CN" w:bidi="ar-SA"/>
    </w:rPr>
  </w:style>
  <w:style w:type="paragraph" w:customStyle="1" w:styleId="1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xc</Company>
  <Pages>3</Pages>
  <Words>1038</Words>
  <Characters>1631</Characters>
  <Lines>13</Lines>
  <Paragraphs>5</Paragraphs>
  <TotalTime>1</TotalTime>
  <ScaleCrop>false</ScaleCrop>
  <LinksUpToDate>false</LinksUpToDate>
  <CharactersWithSpaces>2664</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2020-01-06T08:45:00Z</dcterms:created>
  <dc:creator>dsx</dc:creator>
  <cp:lastModifiedBy>Administrator</cp:lastModifiedBy>
  <dcterms:modified xsi:type="dcterms:W3CDTF">2023-07-25T09:39:20Z</dcterms:modified>
  <dc:title>关于2019年部门预算的批复</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EDOID">
    <vt:r8>5838458</vt:r8>
  </property>
  <property fmtid="{D5CDD505-2E9C-101B-9397-08002B2CF9AE}" pid="4" name="ICV">
    <vt:lpwstr>E7E435903E954F16B3A6550F30CE4D1E</vt:lpwstr>
  </property>
</Properties>
</file>